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DB018" w14:textId="264FB22F" w:rsidR="003F5D06" w:rsidRDefault="003F5D06" w:rsidP="003F5D06">
      <w:pPr>
        <w:spacing w:line="276" w:lineRule="auto"/>
        <w:jc w:val="center"/>
        <w:rPr>
          <w:b/>
          <w:sz w:val="28"/>
        </w:rPr>
      </w:pPr>
      <w:r>
        <w:rPr>
          <w:b/>
          <w:sz w:val="28"/>
        </w:rPr>
        <w:t>Individual Project 2</w:t>
      </w:r>
      <w:r w:rsidR="00212E3B">
        <w:rPr>
          <w:b/>
          <w:sz w:val="28"/>
        </w:rPr>
        <w:t>_DaoDang</w:t>
      </w:r>
      <w:r>
        <w:rPr>
          <w:b/>
          <w:sz w:val="28"/>
        </w:rPr>
        <w:t xml:space="preserve">: </w:t>
      </w:r>
    </w:p>
    <w:p w14:paraId="12B4A1BE" w14:textId="33B18EEF" w:rsidR="003F5D06" w:rsidRPr="00030DC4" w:rsidRDefault="003F5D06" w:rsidP="00030DC4">
      <w:pPr>
        <w:spacing w:line="276" w:lineRule="auto"/>
        <w:jc w:val="center"/>
        <w:rPr>
          <w:b/>
          <w:sz w:val="28"/>
        </w:rPr>
      </w:pPr>
      <w:r>
        <w:rPr>
          <w:b/>
          <w:sz w:val="28"/>
        </w:rPr>
        <w:t>Market Analysis for Multifamily Investor</w:t>
      </w:r>
    </w:p>
    <w:p w14:paraId="3E7ECD64" w14:textId="2D904505" w:rsidR="003F5D06" w:rsidRPr="00B67C31" w:rsidRDefault="003F5D06" w:rsidP="003F5D06">
      <w:pPr>
        <w:spacing w:line="480" w:lineRule="auto"/>
        <w:jc w:val="both"/>
        <w:rPr>
          <w:rFonts w:ascii="Times" w:hAnsi="Times"/>
          <w:b/>
          <w:bCs/>
        </w:rPr>
      </w:pPr>
      <w:r w:rsidRPr="00B67C31">
        <w:rPr>
          <w:rFonts w:ascii="Times" w:eastAsiaTheme="majorEastAsia" w:hAnsi="Times"/>
          <w:b/>
          <w:bCs/>
        </w:rPr>
        <w:t>1. Executive Summary</w:t>
      </w:r>
    </w:p>
    <w:p w14:paraId="219A56BD" w14:textId="13B767F8" w:rsidR="003F5D06" w:rsidRDefault="003F5D06" w:rsidP="003F5D06">
      <w:pPr>
        <w:spacing w:line="480" w:lineRule="auto"/>
        <w:jc w:val="both"/>
        <w:rPr>
          <w:rFonts w:ascii="Times" w:hAnsi="Times"/>
        </w:rPr>
      </w:pPr>
      <w:r>
        <w:rPr>
          <w:rFonts w:ascii="Times" w:hAnsi="Times"/>
        </w:rPr>
        <w:t>As a market consultant using Expert Knowledge with Data and Facts, this report provides a comprehensive analysis of the multifamily housing markets in Milwaukee County, Wisconsin, and Minneapolis, Minnesota, focusing on the key demographic and economic indicators that are critical for investment decision-making. This analysis is tailored to the needs of investors pursuing a value-add</w:t>
      </w:r>
      <w:r>
        <w:rPr>
          <w:rFonts w:ascii="Times" w:hAnsi="Times"/>
        </w:rPr>
        <w:t>ed</w:t>
      </w:r>
      <w:r>
        <w:rPr>
          <w:rFonts w:ascii="Times" w:hAnsi="Times"/>
        </w:rPr>
        <w:t xml:space="preserve"> strategy.</w:t>
      </w:r>
    </w:p>
    <w:p w14:paraId="38FE493B" w14:textId="77777777" w:rsidR="003F5D06" w:rsidRDefault="003F5D06" w:rsidP="003F5D06">
      <w:pPr>
        <w:spacing w:line="480" w:lineRule="auto"/>
        <w:jc w:val="both"/>
        <w:rPr>
          <w:rFonts w:ascii="Times" w:hAnsi="Times"/>
        </w:rPr>
      </w:pPr>
      <w:r>
        <w:rPr>
          <w:rFonts w:ascii="Times" w:hAnsi="Times"/>
        </w:rPr>
        <w:t>After analyzing, we have some key findings:</w:t>
      </w:r>
    </w:p>
    <w:p w14:paraId="0E4C3B99" w14:textId="3326CBE2" w:rsidR="003F5D06" w:rsidRPr="00B314F4" w:rsidRDefault="00B314F4" w:rsidP="003F5D06">
      <w:pPr>
        <w:spacing w:line="480" w:lineRule="auto"/>
        <w:jc w:val="both"/>
        <w:rPr>
          <w:rFonts w:ascii="Times" w:hAnsi="Times"/>
        </w:rPr>
      </w:pPr>
      <w:r w:rsidRPr="00B314F4">
        <w:rPr>
          <w:rFonts w:ascii="Times" w:hAnsi="Times"/>
        </w:rPr>
        <w:t xml:space="preserve">For </w:t>
      </w:r>
      <w:r w:rsidR="003F5D06" w:rsidRPr="00B314F4">
        <w:rPr>
          <w:rFonts w:ascii="Times" w:hAnsi="Times"/>
        </w:rPr>
        <w:t xml:space="preserve">Demographics: </w:t>
      </w:r>
    </w:p>
    <w:p w14:paraId="1D9703EC" w14:textId="77777777" w:rsidR="003F5D06" w:rsidRPr="003F5D06" w:rsidRDefault="003F5D06" w:rsidP="003F5D06">
      <w:pPr>
        <w:pStyle w:val="ListParagraph"/>
        <w:numPr>
          <w:ilvl w:val="0"/>
          <w:numId w:val="23"/>
        </w:numPr>
        <w:spacing w:line="480" w:lineRule="auto"/>
        <w:jc w:val="both"/>
        <w:rPr>
          <w:rFonts w:ascii="Times" w:hAnsi="Times"/>
        </w:rPr>
      </w:pPr>
      <w:r w:rsidRPr="003F5D06">
        <w:rPr>
          <w:rFonts w:ascii="Times" w:hAnsi="Times"/>
        </w:rPr>
        <w:t>Milwaukee County has a larger population of 939,489 compared to Minneapolis’s 429,954. This larger population of Milwaukee suggests this has a broader market for multifamily housing.</w:t>
      </w:r>
    </w:p>
    <w:p w14:paraId="457E3612" w14:textId="77777777" w:rsidR="003F5D06" w:rsidRPr="003F5D06" w:rsidRDefault="003F5D06" w:rsidP="003F5D06">
      <w:pPr>
        <w:pStyle w:val="ListParagraph"/>
        <w:numPr>
          <w:ilvl w:val="0"/>
          <w:numId w:val="23"/>
        </w:numPr>
        <w:spacing w:line="480" w:lineRule="auto"/>
        <w:jc w:val="both"/>
        <w:rPr>
          <w:rFonts w:ascii="Times" w:hAnsi="Times"/>
        </w:rPr>
      </w:pPr>
      <w:r w:rsidRPr="003F5D06">
        <w:rPr>
          <w:rFonts w:ascii="Times" w:hAnsi="Times"/>
        </w:rPr>
        <w:t>The median household income in Minneapolis is significantly higher at $81,001 compared to $63,185 in Milwaukee, this indicates that Minneapolis potentially attracts higher-income renters, aligning with investors’ target demographic.</w:t>
      </w:r>
    </w:p>
    <w:p w14:paraId="15ED395E" w14:textId="32CBD1BD" w:rsidR="003F5D06" w:rsidRPr="00B314F4" w:rsidRDefault="00B314F4" w:rsidP="003F5D06">
      <w:pPr>
        <w:spacing w:line="480" w:lineRule="auto"/>
        <w:jc w:val="both"/>
        <w:rPr>
          <w:rFonts w:ascii="Times" w:hAnsi="Times"/>
        </w:rPr>
      </w:pPr>
      <w:r w:rsidRPr="00B314F4">
        <w:rPr>
          <w:rFonts w:ascii="Times" w:hAnsi="Times"/>
        </w:rPr>
        <w:t xml:space="preserve">For </w:t>
      </w:r>
      <w:r w:rsidR="003F5D06" w:rsidRPr="00B314F4">
        <w:rPr>
          <w:rFonts w:ascii="Times" w:hAnsi="Times"/>
        </w:rPr>
        <w:t>Educational Attainment and Employment:</w:t>
      </w:r>
    </w:p>
    <w:p w14:paraId="48BE830B" w14:textId="77777777" w:rsidR="003F5D06" w:rsidRPr="003F5D06" w:rsidRDefault="003F5D06" w:rsidP="003F5D06">
      <w:pPr>
        <w:pStyle w:val="ListParagraph"/>
        <w:numPr>
          <w:ilvl w:val="0"/>
          <w:numId w:val="24"/>
        </w:numPr>
        <w:spacing w:line="480" w:lineRule="auto"/>
        <w:jc w:val="both"/>
        <w:rPr>
          <w:rFonts w:ascii="Times" w:hAnsi="Times"/>
        </w:rPr>
      </w:pPr>
      <w:r w:rsidRPr="003F5D06">
        <w:rPr>
          <w:rFonts w:ascii="Times" w:hAnsi="Times"/>
        </w:rPr>
        <w:t>Minneapolis has a higher percentage of residents with a bachelor’s degree or higher (58.8%) compared to Milwaukee’s 35.9%. This higher educational attainment is linked to a stronger job market and greater potential for economic growth.</w:t>
      </w:r>
    </w:p>
    <w:p w14:paraId="4FB62A2A" w14:textId="77777777" w:rsidR="003F5D06" w:rsidRPr="003F5D06" w:rsidRDefault="003F5D06" w:rsidP="003F5D06">
      <w:pPr>
        <w:pStyle w:val="ListParagraph"/>
        <w:numPr>
          <w:ilvl w:val="0"/>
          <w:numId w:val="24"/>
        </w:numPr>
        <w:spacing w:line="480" w:lineRule="auto"/>
        <w:jc w:val="both"/>
        <w:rPr>
          <w:rFonts w:ascii="Times" w:hAnsi="Times"/>
        </w:rPr>
      </w:pPr>
      <w:r w:rsidRPr="003F5D06">
        <w:rPr>
          <w:rFonts w:ascii="Times" w:hAnsi="Times"/>
        </w:rPr>
        <w:t>Minneapolis also has a notably higher employment rate of 71.9%, compared to 63.3% in Milwaukee. This indicates a more robust labor market, which is likely to support stronger rental demand.</w:t>
      </w:r>
    </w:p>
    <w:p w14:paraId="1A7C800D" w14:textId="0237D028" w:rsidR="003F5D06" w:rsidRPr="00B314F4" w:rsidRDefault="00B314F4" w:rsidP="003F5D06">
      <w:pPr>
        <w:spacing w:line="360" w:lineRule="auto"/>
        <w:ind w:left="720"/>
        <w:jc w:val="both"/>
        <w:rPr>
          <w:rFonts w:ascii="Times" w:hAnsi="Times"/>
        </w:rPr>
      </w:pPr>
      <w:r w:rsidRPr="00B314F4">
        <w:rPr>
          <w:rFonts w:ascii="Times" w:hAnsi="Times"/>
        </w:rPr>
        <w:t xml:space="preserve">For </w:t>
      </w:r>
      <w:r w:rsidR="003F5D06" w:rsidRPr="00B314F4">
        <w:rPr>
          <w:rFonts w:ascii="Times" w:hAnsi="Times"/>
        </w:rPr>
        <w:t>Housing Market Dynamics:</w:t>
      </w:r>
    </w:p>
    <w:p w14:paraId="354930B0" w14:textId="77777777" w:rsidR="003F5D06" w:rsidRDefault="003F5D06" w:rsidP="003F5D06">
      <w:pPr>
        <w:spacing w:line="480" w:lineRule="auto"/>
        <w:ind w:left="720"/>
        <w:jc w:val="both"/>
        <w:rPr>
          <w:rFonts w:ascii="Times" w:hAnsi="Times"/>
        </w:rPr>
      </w:pPr>
      <w:r>
        <w:rPr>
          <w:rFonts w:ascii="Times" w:hAnsi="Times"/>
        </w:rPr>
        <w:lastRenderedPageBreak/>
        <w:tab/>
        <w:t>Milwaukee has 429,191 housing units, significantly more than Minneapolis, which has 199,143 units. This larger housing stock in Milwaukee suggests more rental and investment options. However, Milwaukee also faces challenges like population decline and lower median incomes, which could impact future rental demand.</w:t>
      </w:r>
    </w:p>
    <w:p w14:paraId="53DDB218" w14:textId="77777777" w:rsidR="003F5D06" w:rsidRDefault="003F5D06" w:rsidP="003F5D06">
      <w:pPr>
        <w:spacing w:line="480" w:lineRule="auto"/>
        <w:ind w:left="720"/>
        <w:jc w:val="both"/>
        <w:rPr>
          <w:rFonts w:ascii="Times" w:hAnsi="Times"/>
        </w:rPr>
      </w:pPr>
      <w:r>
        <w:rPr>
          <w:rFonts w:ascii="Times" w:hAnsi="Times"/>
        </w:rPr>
        <w:tab/>
        <w:t>For investors looking to add value, Milwaukee presents opportunities to acquire properties at more affordable price points, which could appeal to younger households and seniors seeking to downsize. On the other hand, Minneapolis offers a more competitive rental market, with higher income potential, but also comes with higher median house prices and rents.</w:t>
      </w:r>
    </w:p>
    <w:p w14:paraId="7B061A9B" w14:textId="77777777" w:rsidR="003F5D06" w:rsidRPr="00B67C31" w:rsidRDefault="003F5D06" w:rsidP="003F5D06">
      <w:pPr>
        <w:spacing w:line="480" w:lineRule="auto"/>
        <w:jc w:val="both"/>
        <w:rPr>
          <w:rFonts w:ascii="Times" w:hAnsi="Times"/>
        </w:rPr>
      </w:pPr>
      <w:r>
        <w:rPr>
          <w:rFonts w:ascii="Times" w:hAnsi="Times"/>
        </w:rPr>
        <w:tab/>
        <w:t>This report is designed to help investors make informed decisions regarding future potential investments in the Minneapolis and Milwaukee areas by highlighting the key factors influencing market dynamics and rental demands.</w:t>
      </w:r>
    </w:p>
    <w:p w14:paraId="3437AEFC" w14:textId="77777777" w:rsidR="003F5D06" w:rsidRDefault="003F5D06" w:rsidP="003F5D06">
      <w:pPr>
        <w:spacing w:line="360" w:lineRule="auto"/>
        <w:jc w:val="both"/>
        <w:rPr>
          <w:rFonts w:ascii="Times" w:hAnsi="Times"/>
          <w:b/>
          <w:bCs/>
        </w:rPr>
      </w:pPr>
      <w:r w:rsidRPr="00B67C31">
        <w:rPr>
          <w:rFonts w:ascii="Times" w:eastAsiaTheme="majorEastAsia" w:hAnsi="Times"/>
          <w:b/>
          <w:bCs/>
        </w:rPr>
        <w:t>2. Introduction to the Market</w:t>
      </w:r>
    </w:p>
    <w:p w14:paraId="5740CAFE" w14:textId="137CF6DE" w:rsidR="003F5D06" w:rsidRPr="000003CC" w:rsidRDefault="003F5D06" w:rsidP="003F5D06">
      <w:pPr>
        <w:spacing w:line="480" w:lineRule="auto"/>
        <w:jc w:val="both"/>
        <w:rPr>
          <w:rFonts w:ascii="Times" w:hAnsi="Times"/>
        </w:rPr>
      </w:pPr>
      <w:r>
        <w:rPr>
          <w:rFonts w:ascii="Times" w:hAnsi="Times"/>
        </w:rPr>
        <w:t>As a market analysis consultant working with investors seeking to expand their portfolio beyond Portland, OR, and Seattle, WA, I have been tasked with evaluating the Milwaukee, WI, and Minneapolis, MN Metropolitan Statistical Areas (MSAs) to determine which market aligns best with client’s investment strategy. This report provides a detailed comparison of</w:t>
      </w:r>
      <w:r w:rsidR="00B314F4">
        <w:rPr>
          <w:rFonts w:ascii="Times" w:hAnsi="Times"/>
        </w:rPr>
        <w:t xml:space="preserve"> </w:t>
      </w:r>
      <w:r w:rsidR="00B314F4">
        <w:rPr>
          <w:rFonts w:ascii="Times" w:hAnsi="Times"/>
        </w:rPr>
        <w:t>Milwaukee, WI, and Minneapolis, MN</w:t>
      </w:r>
      <w:r w:rsidR="00B314F4">
        <w:rPr>
          <w:rFonts w:ascii="Times" w:hAnsi="Times"/>
        </w:rPr>
        <w:t>,</w:t>
      </w:r>
      <w:r>
        <w:rPr>
          <w:rFonts w:ascii="Times" w:hAnsi="Times"/>
        </w:rPr>
        <w:t xml:space="preserve"> </w:t>
      </w:r>
      <w:r w:rsidR="00B314F4">
        <w:rPr>
          <w:rFonts w:ascii="Times" w:hAnsi="Times"/>
        </w:rPr>
        <w:t>along with</w:t>
      </w:r>
      <w:r>
        <w:rPr>
          <w:rFonts w:ascii="Times" w:hAnsi="Times"/>
        </w:rPr>
        <w:t xml:space="preserve"> the critical factors that support the client's value-added investment approach across multiple sectors. The client specializes in acquiring 20+ unit Class C properties and upgrading them to Class B, targeting young professionals without children and senior households looking to downsize in urban settings. With a particular focus on renters with a median household income of $</w:t>
      </w:r>
      <w:proofErr w:type="gramStart"/>
      <w:r>
        <w:rPr>
          <w:rFonts w:ascii="Times" w:hAnsi="Times"/>
        </w:rPr>
        <w:t>80,000  or</w:t>
      </w:r>
      <w:proofErr w:type="gramEnd"/>
      <w:r>
        <w:rPr>
          <w:rFonts w:ascii="Times" w:hAnsi="Times"/>
        </w:rPr>
        <w:t xml:space="preserve"> higher and a bachelor’s degree or greater, this analysis will concentrate on </w:t>
      </w:r>
      <w:r>
        <w:rPr>
          <w:rFonts w:ascii="Times" w:hAnsi="Times"/>
        </w:rPr>
        <w:lastRenderedPageBreak/>
        <w:t>demographic trends, economic indicators, and multifamily market fundamentals that align with this strategy</w:t>
      </w:r>
    </w:p>
    <w:p w14:paraId="1AD948DA" w14:textId="69626C77" w:rsidR="003F5D06" w:rsidRPr="00B67C31" w:rsidRDefault="00B314F4" w:rsidP="003F5D06">
      <w:pPr>
        <w:spacing w:line="480" w:lineRule="auto"/>
        <w:jc w:val="both"/>
        <w:rPr>
          <w:rFonts w:ascii="Times" w:hAnsi="Times"/>
        </w:rPr>
      </w:pPr>
      <w:r>
        <w:rPr>
          <w:rFonts w:ascii="Times" w:hAnsi="Times"/>
        </w:rPr>
        <w:t>In this report</w:t>
      </w:r>
      <w:r w:rsidR="003F5D06">
        <w:rPr>
          <w:rFonts w:ascii="Times" w:hAnsi="Times"/>
        </w:rPr>
        <w:t xml:space="preserve">, we will examine population growth, job market trends, industry diversity, housing permit activity, and key multifamily market metrics for both Milwaukee and Minneapolis. By comparing these factors, we aim to identify which MSA offers the most favorable environment for our client’s investment objectives, considering aspects such as Population growth, especially within the target demographic, job growth, unemployment rates, industry diversity, and future growth potential, housing permit trends, and multifamily market fundamentals, including absorption rates, rent trends, and vacancy rates. Moreover, our analysis also will draw from data provided by the U.S Census Bureau and the Federal Reserve Bank of St. Louis, focusing on trends from 2014 to 2024. By </w:t>
      </w:r>
      <w:r>
        <w:rPr>
          <w:rFonts w:ascii="Times" w:hAnsi="Times"/>
        </w:rPr>
        <w:t>visualizing</w:t>
      </w:r>
      <w:r w:rsidR="003F5D06">
        <w:rPr>
          <w:rFonts w:ascii="Times" w:hAnsi="Times"/>
        </w:rPr>
        <w:t xml:space="preserve"> data in Tableau and </w:t>
      </w:r>
      <w:r>
        <w:rPr>
          <w:rFonts w:ascii="Times" w:hAnsi="Times"/>
        </w:rPr>
        <w:t xml:space="preserve">numbers of </w:t>
      </w:r>
      <w:r w:rsidR="003F5D06">
        <w:rPr>
          <w:rFonts w:ascii="Times" w:hAnsi="Times"/>
        </w:rPr>
        <w:t>descriptive statistics, this report will provide a comprehensive overview of the multifamily market trends in both cities. Ultimately, this report will offer a well-rounded recommendation to help the client’s next investment decision, ensuring alignment with their value-added strategy and target market segments based on both historical data and future projections.</w:t>
      </w:r>
    </w:p>
    <w:p w14:paraId="1CCC9DE7" w14:textId="62173CAD" w:rsidR="003F5D06" w:rsidRPr="003F5D06" w:rsidRDefault="007A668C" w:rsidP="003F5D06">
      <w:pPr>
        <w:spacing w:line="480" w:lineRule="auto"/>
        <w:jc w:val="both"/>
        <w:rPr>
          <w:rFonts w:ascii="Times" w:hAnsi="Times"/>
          <w:b/>
          <w:bCs/>
        </w:rPr>
      </w:pPr>
      <w:r>
        <w:rPr>
          <w:rFonts w:ascii="Times" w:eastAsiaTheme="majorEastAsia" w:hAnsi="Times"/>
          <w:b/>
          <w:bCs/>
        </w:rPr>
        <w:t xml:space="preserve">2. </w:t>
      </w:r>
      <w:r w:rsidR="003F5D06" w:rsidRPr="003F5D06">
        <w:rPr>
          <w:rFonts w:ascii="Times" w:eastAsiaTheme="majorEastAsia" w:hAnsi="Times"/>
          <w:b/>
          <w:bCs/>
        </w:rPr>
        <w:t>Market Overview</w:t>
      </w:r>
      <w:r w:rsidR="003F5D06">
        <w:rPr>
          <w:rFonts w:ascii="Times" w:eastAsiaTheme="majorEastAsia" w:hAnsi="Times"/>
          <w:b/>
          <w:bCs/>
        </w:rPr>
        <w:t>:</w:t>
      </w:r>
    </w:p>
    <w:p w14:paraId="70D25E10" w14:textId="5FDA341B" w:rsidR="003F5D06" w:rsidRPr="002A36E3" w:rsidRDefault="003F5D06" w:rsidP="003F5D06">
      <w:pPr>
        <w:spacing w:line="480" w:lineRule="auto"/>
        <w:ind w:firstLine="720"/>
        <w:jc w:val="both"/>
        <w:rPr>
          <w:rFonts w:ascii="Times" w:hAnsi="Times"/>
        </w:rPr>
      </w:pPr>
      <w:r w:rsidRPr="002A36E3">
        <w:rPr>
          <w:rFonts w:ascii="Times" w:hAnsi="Times"/>
          <w:b/>
          <w:bCs/>
        </w:rPr>
        <w:t xml:space="preserve">Demand and Supply Analysis: </w:t>
      </w:r>
      <w:r w:rsidRPr="002A36E3">
        <w:rPr>
          <w:rFonts w:ascii="Times" w:hAnsi="Times"/>
        </w:rPr>
        <w:t>focus</w:t>
      </w:r>
      <w:r w:rsidR="00B314F4">
        <w:rPr>
          <w:rFonts w:ascii="Times" w:hAnsi="Times"/>
        </w:rPr>
        <w:t>ing</w:t>
      </w:r>
      <w:r w:rsidRPr="002A36E3">
        <w:rPr>
          <w:rFonts w:ascii="Times" w:hAnsi="Times"/>
        </w:rPr>
        <w:t xml:space="preserve"> on understanding the dynamics between supply and demand within the market. Analyzing these two factors is essential to gauge market health and identify opportunities or risks.</w:t>
      </w:r>
    </w:p>
    <w:p w14:paraId="516F8007" w14:textId="77777777" w:rsidR="003F5D06" w:rsidRPr="002A36E3" w:rsidRDefault="003F5D06" w:rsidP="003F5D06">
      <w:pPr>
        <w:spacing w:line="480" w:lineRule="auto"/>
        <w:ind w:firstLine="720"/>
        <w:jc w:val="both"/>
        <w:rPr>
          <w:rFonts w:ascii="Times" w:hAnsi="Times"/>
        </w:rPr>
      </w:pPr>
      <w:r w:rsidRPr="002A36E3">
        <w:rPr>
          <w:rFonts w:ascii="Times" w:hAnsi="Times"/>
          <w:b/>
          <w:bCs/>
        </w:rPr>
        <w:t>Demand Drivers:</w:t>
      </w:r>
      <w:r w:rsidRPr="002A36E3">
        <w:rPr>
          <w:rFonts w:ascii="Times" w:hAnsi="Times"/>
        </w:rPr>
        <w:t xml:space="preserve"> </w:t>
      </w:r>
    </w:p>
    <w:p w14:paraId="3D8F5BE4" w14:textId="77777777" w:rsidR="003F5D06" w:rsidRPr="002A36E3" w:rsidRDefault="003F5D06" w:rsidP="003F5D06">
      <w:pPr>
        <w:spacing w:line="480" w:lineRule="auto"/>
        <w:jc w:val="both"/>
        <w:rPr>
          <w:rFonts w:ascii="Times" w:hAnsi="Times"/>
        </w:rPr>
      </w:pPr>
      <w:r w:rsidRPr="002A36E3">
        <w:rPr>
          <w:rFonts w:ascii="Times" w:hAnsi="Times"/>
        </w:rPr>
        <w:lastRenderedPageBreak/>
        <w:t>Based on the US Census Bureau website (</w:t>
      </w:r>
      <w:hyperlink r:id="rId7" w:history="1">
        <w:r w:rsidRPr="002A36E3">
          <w:rPr>
            <w:rStyle w:val="Hyperlink"/>
            <w:rFonts w:ascii="Times" w:eastAsiaTheme="majorEastAsia" w:hAnsi="Times"/>
          </w:rPr>
          <w:t>https://data.census.gov/</w:t>
        </w:r>
      </w:hyperlink>
      <w:r w:rsidRPr="002A36E3">
        <w:rPr>
          <w:rFonts w:ascii="Times" w:hAnsi="Times"/>
        </w:rPr>
        <w:t>), we have the Demographic Analysis table (figure 1,2,3) below between Milwaukee County, Wisconsin, and Minneapolis:</w:t>
      </w:r>
    </w:p>
    <w:p w14:paraId="3FC52161" w14:textId="77777777" w:rsidR="003F5D06" w:rsidRDefault="003F5D06" w:rsidP="003F5D06">
      <w:pPr>
        <w:pStyle w:val="ListParagraph"/>
        <w:spacing w:line="360" w:lineRule="auto"/>
        <w:jc w:val="both"/>
        <w:rPr>
          <w:rFonts w:ascii="Times" w:hAnsi="Times"/>
        </w:rPr>
      </w:pPr>
      <w:r>
        <w:rPr>
          <w:rFonts w:ascii="Times" w:hAnsi="Times"/>
          <w:noProof/>
        </w:rPr>
        <w:drawing>
          <wp:inline distT="0" distB="0" distL="0" distR="0" wp14:anchorId="5BA18D78" wp14:editId="5FBD2CA1">
            <wp:extent cx="5486400" cy="2352675"/>
            <wp:effectExtent l="0" t="0" r="0" b="0"/>
            <wp:docPr id="135821383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13831" name="Picture 1" descr="A screenshot of a map&#10;&#10;Description automatically generated"/>
                    <pic:cNvPicPr/>
                  </pic:nvPicPr>
                  <pic:blipFill>
                    <a:blip r:embed="rId8"/>
                    <a:stretch>
                      <a:fillRect/>
                    </a:stretch>
                  </pic:blipFill>
                  <pic:spPr>
                    <a:xfrm>
                      <a:off x="0" y="0"/>
                      <a:ext cx="5486400" cy="2352675"/>
                    </a:xfrm>
                    <a:prstGeom prst="rect">
                      <a:avLst/>
                    </a:prstGeom>
                  </pic:spPr>
                </pic:pic>
              </a:graphicData>
            </a:graphic>
          </wp:inline>
        </w:drawing>
      </w:r>
    </w:p>
    <w:p w14:paraId="089E6121" w14:textId="77777777" w:rsidR="003F5D06" w:rsidRDefault="003F5D06" w:rsidP="003F5D06">
      <w:pPr>
        <w:pStyle w:val="ListParagraph"/>
        <w:spacing w:line="360" w:lineRule="auto"/>
        <w:jc w:val="center"/>
        <w:rPr>
          <w:rFonts w:ascii="Times" w:hAnsi="Times"/>
        </w:rPr>
      </w:pPr>
      <w:r>
        <w:rPr>
          <w:rFonts w:ascii="Times" w:hAnsi="Times"/>
        </w:rPr>
        <w:t>Figure 1- Milwaukee County, Wisconsin</w:t>
      </w:r>
    </w:p>
    <w:p w14:paraId="3F00EF21" w14:textId="77777777" w:rsidR="003F5D06" w:rsidRDefault="003F5D06" w:rsidP="003F5D06">
      <w:pPr>
        <w:pStyle w:val="ListParagraph"/>
        <w:spacing w:line="360" w:lineRule="auto"/>
        <w:jc w:val="both"/>
        <w:rPr>
          <w:rFonts w:ascii="Times" w:hAnsi="Times"/>
        </w:rPr>
      </w:pPr>
      <w:r>
        <w:rPr>
          <w:rFonts w:ascii="Times" w:hAnsi="Times"/>
          <w:noProof/>
          <w:sz w:val="16"/>
          <w:szCs w:val="16"/>
        </w:rPr>
        <w:drawing>
          <wp:inline distT="0" distB="0" distL="0" distR="0" wp14:anchorId="7765F5E0" wp14:editId="1D9686F7">
            <wp:extent cx="5486400" cy="2383790"/>
            <wp:effectExtent l="0" t="0" r="0" b="3810"/>
            <wp:docPr id="1180932642" name="Picture 10"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32642" name="Picture 10" descr="A map of a city&#10;&#10;Description automatically generated"/>
                    <pic:cNvPicPr/>
                  </pic:nvPicPr>
                  <pic:blipFill>
                    <a:blip r:embed="rId9"/>
                    <a:stretch>
                      <a:fillRect/>
                    </a:stretch>
                  </pic:blipFill>
                  <pic:spPr>
                    <a:xfrm>
                      <a:off x="0" y="0"/>
                      <a:ext cx="5486400" cy="2383790"/>
                    </a:xfrm>
                    <a:prstGeom prst="rect">
                      <a:avLst/>
                    </a:prstGeom>
                  </pic:spPr>
                </pic:pic>
              </a:graphicData>
            </a:graphic>
          </wp:inline>
        </w:drawing>
      </w:r>
    </w:p>
    <w:p w14:paraId="21E28B0C" w14:textId="77777777" w:rsidR="003F5D06" w:rsidRDefault="003F5D06" w:rsidP="003F5D06">
      <w:pPr>
        <w:pStyle w:val="ListParagraph"/>
        <w:spacing w:line="360" w:lineRule="auto"/>
        <w:jc w:val="center"/>
        <w:rPr>
          <w:rFonts w:ascii="Times" w:hAnsi="Times"/>
        </w:rPr>
      </w:pPr>
      <w:r>
        <w:rPr>
          <w:rFonts w:ascii="Times" w:hAnsi="Times"/>
        </w:rPr>
        <w:t>Figure 2-Minneapolis City, Minnesota</w:t>
      </w:r>
    </w:p>
    <w:tbl>
      <w:tblPr>
        <w:tblStyle w:val="TableGrid"/>
        <w:tblW w:w="0" w:type="auto"/>
        <w:tblInd w:w="720" w:type="dxa"/>
        <w:tblLook w:val="04A0" w:firstRow="1" w:lastRow="0" w:firstColumn="1" w:lastColumn="0" w:noHBand="0" w:noVBand="1"/>
      </w:tblPr>
      <w:tblGrid>
        <w:gridCol w:w="2598"/>
        <w:gridCol w:w="3067"/>
        <w:gridCol w:w="2245"/>
      </w:tblGrid>
      <w:tr w:rsidR="003F5D06" w14:paraId="46E12C5C" w14:textId="77777777" w:rsidTr="00F94995">
        <w:tc>
          <w:tcPr>
            <w:tcW w:w="2598" w:type="dxa"/>
          </w:tcPr>
          <w:p w14:paraId="0AFD1ED5" w14:textId="77777777" w:rsidR="003F5D06" w:rsidRDefault="003F5D06" w:rsidP="00F94995">
            <w:pPr>
              <w:pStyle w:val="ListParagraph"/>
              <w:spacing w:line="360" w:lineRule="auto"/>
              <w:ind w:left="0"/>
              <w:jc w:val="both"/>
              <w:rPr>
                <w:rFonts w:ascii="Times" w:hAnsi="Times"/>
              </w:rPr>
            </w:pPr>
          </w:p>
        </w:tc>
        <w:tc>
          <w:tcPr>
            <w:tcW w:w="3067" w:type="dxa"/>
          </w:tcPr>
          <w:p w14:paraId="2B949232" w14:textId="77777777" w:rsidR="003F5D06" w:rsidRDefault="003F5D06" w:rsidP="00F94995">
            <w:pPr>
              <w:pStyle w:val="ListParagraph"/>
              <w:spacing w:line="360" w:lineRule="auto"/>
              <w:ind w:left="0"/>
              <w:jc w:val="center"/>
              <w:rPr>
                <w:rFonts w:ascii="Times" w:hAnsi="Times"/>
              </w:rPr>
            </w:pPr>
            <w:r>
              <w:rPr>
                <w:rFonts w:ascii="Times" w:hAnsi="Times"/>
              </w:rPr>
              <w:t>Milwaukee County, Wisconsin</w:t>
            </w:r>
          </w:p>
        </w:tc>
        <w:tc>
          <w:tcPr>
            <w:tcW w:w="2245" w:type="dxa"/>
          </w:tcPr>
          <w:p w14:paraId="7DB94035" w14:textId="77777777" w:rsidR="003F5D06" w:rsidRDefault="003F5D06" w:rsidP="00F94995">
            <w:pPr>
              <w:pStyle w:val="ListParagraph"/>
              <w:spacing w:line="360" w:lineRule="auto"/>
              <w:ind w:left="0"/>
              <w:jc w:val="both"/>
              <w:rPr>
                <w:rFonts w:ascii="Times" w:hAnsi="Times"/>
              </w:rPr>
            </w:pPr>
            <w:r w:rsidRPr="00B77607">
              <w:rPr>
                <w:rFonts w:ascii="Times" w:hAnsi="Times"/>
              </w:rPr>
              <w:t>Minneapolis</w:t>
            </w:r>
          </w:p>
        </w:tc>
      </w:tr>
      <w:tr w:rsidR="003F5D06" w14:paraId="3AC6DD54" w14:textId="77777777" w:rsidTr="00F94995">
        <w:tc>
          <w:tcPr>
            <w:tcW w:w="2598" w:type="dxa"/>
          </w:tcPr>
          <w:p w14:paraId="476FB00B" w14:textId="77777777" w:rsidR="003F5D06" w:rsidRDefault="003F5D06" w:rsidP="00F94995">
            <w:pPr>
              <w:pStyle w:val="ListParagraph"/>
              <w:spacing w:line="360" w:lineRule="auto"/>
              <w:ind w:left="0"/>
              <w:jc w:val="both"/>
              <w:rPr>
                <w:rFonts w:ascii="Times" w:hAnsi="Times"/>
              </w:rPr>
            </w:pPr>
            <w:r>
              <w:rPr>
                <w:rFonts w:ascii="Times" w:hAnsi="Times"/>
              </w:rPr>
              <w:t>Population and People</w:t>
            </w:r>
          </w:p>
        </w:tc>
        <w:tc>
          <w:tcPr>
            <w:tcW w:w="3067" w:type="dxa"/>
          </w:tcPr>
          <w:p w14:paraId="22C1820B" w14:textId="77777777" w:rsidR="003F5D06" w:rsidRDefault="003F5D06" w:rsidP="00F94995">
            <w:pPr>
              <w:pStyle w:val="ListParagraph"/>
              <w:spacing w:line="360" w:lineRule="auto"/>
              <w:ind w:left="0"/>
              <w:jc w:val="both"/>
              <w:rPr>
                <w:rFonts w:ascii="Times" w:hAnsi="Times"/>
              </w:rPr>
            </w:pPr>
            <w:r>
              <w:rPr>
                <w:rFonts w:ascii="Times" w:hAnsi="Times"/>
              </w:rPr>
              <w:t>939,489 (2020 census)</w:t>
            </w:r>
          </w:p>
        </w:tc>
        <w:tc>
          <w:tcPr>
            <w:tcW w:w="2245" w:type="dxa"/>
          </w:tcPr>
          <w:p w14:paraId="74A6B6FC" w14:textId="77777777" w:rsidR="003F5D06" w:rsidRDefault="003F5D06" w:rsidP="00F94995">
            <w:pPr>
              <w:pStyle w:val="ListParagraph"/>
              <w:spacing w:line="360" w:lineRule="auto"/>
              <w:ind w:left="0"/>
              <w:jc w:val="both"/>
              <w:rPr>
                <w:rFonts w:ascii="Times" w:hAnsi="Times"/>
              </w:rPr>
            </w:pPr>
            <w:r>
              <w:rPr>
                <w:rFonts w:ascii="Times" w:hAnsi="Times"/>
              </w:rPr>
              <w:t>429,954 (2020 Census)</w:t>
            </w:r>
          </w:p>
        </w:tc>
      </w:tr>
      <w:tr w:rsidR="003F5D06" w14:paraId="327539AE" w14:textId="77777777" w:rsidTr="00F94995">
        <w:tc>
          <w:tcPr>
            <w:tcW w:w="2598" w:type="dxa"/>
          </w:tcPr>
          <w:p w14:paraId="7A25BC0D" w14:textId="77777777" w:rsidR="003F5D06" w:rsidRDefault="003F5D06" w:rsidP="00F94995">
            <w:pPr>
              <w:pStyle w:val="ListParagraph"/>
              <w:spacing w:line="360" w:lineRule="auto"/>
              <w:ind w:left="0"/>
              <w:jc w:val="both"/>
              <w:rPr>
                <w:rFonts w:ascii="Times" w:hAnsi="Times"/>
              </w:rPr>
            </w:pPr>
            <w:r>
              <w:rPr>
                <w:rFonts w:ascii="Times" w:hAnsi="Times"/>
              </w:rPr>
              <w:lastRenderedPageBreak/>
              <w:t>Income and Poverty</w:t>
            </w:r>
          </w:p>
        </w:tc>
        <w:tc>
          <w:tcPr>
            <w:tcW w:w="3067" w:type="dxa"/>
          </w:tcPr>
          <w:p w14:paraId="14AC2514" w14:textId="77777777" w:rsidR="003F5D06" w:rsidRDefault="003F5D06" w:rsidP="00F94995">
            <w:pPr>
              <w:pStyle w:val="ListParagraph"/>
              <w:spacing w:line="360" w:lineRule="auto"/>
              <w:ind w:left="0"/>
              <w:jc w:val="both"/>
              <w:rPr>
                <w:rFonts w:ascii="Times" w:hAnsi="Times"/>
              </w:rPr>
            </w:pPr>
            <w:r>
              <w:rPr>
                <w:rFonts w:ascii="Times" w:hAnsi="Times"/>
              </w:rPr>
              <w:t>Median Household Income: $63,185</w:t>
            </w:r>
          </w:p>
        </w:tc>
        <w:tc>
          <w:tcPr>
            <w:tcW w:w="2245" w:type="dxa"/>
          </w:tcPr>
          <w:p w14:paraId="2B172863" w14:textId="77777777" w:rsidR="003F5D06" w:rsidRDefault="003F5D06" w:rsidP="00F94995">
            <w:pPr>
              <w:pStyle w:val="ListParagraph"/>
              <w:spacing w:line="360" w:lineRule="auto"/>
              <w:ind w:left="0"/>
              <w:jc w:val="both"/>
              <w:rPr>
                <w:rFonts w:ascii="Times" w:hAnsi="Times"/>
              </w:rPr>
            </w:pPr>
            <w:r>
              <w:rPr>
                <w:rFonts w:ascii="Times" w:hAnsi="Times"/>
              </w:rPr>
              <w:t>$81,001 (2023 Survey 1-year estimates)</w:t>
            </w:r>
          </w:p>
        </w:tc>
      </w:tr>
      <w:tr w:rsidR="003F5D06" w14:paraId="51EFC82D" w14:textId="77777777" w:rsidTr="00F94995">
        <w:tc>
          <w:tcPr>
            <w:tcW w:w="2598" w:type="dxa"/>
          </w:tcPr>
          <w:p w14:paraId="56328846" w14:textId="77777777" w:rsidR="003F5D06" w:rsidRDefault="003F5D06" w:rsidP="00F94995">
            <w:pPr>
              <w:pStyle w:val="ListParagraph"/>
              <w:spacing w:line="360" w:lineRule="auto"/>
              <w:ind w:left="0"/>
              <w:jc w:val="both"/>
              <w:rPr>
                <w:rFonts w:ascii="Times" w:hAnsi="Times"/>
              </w:rPr>
            </w:pPr>
            <w:r>
              <w:rPr>
                <w:rFonts w:ascii="Times" w:hAnsi="Times"/>
              </w:rPr>
              <w:t>Education</w:t>
            </w:r>
          </w:p>
        </w:tc>
        <w:tc>
          <w:tcPr>
            <w:tcW w:w="3067" w:type="dxa"/>
          </w:tcPr>
          <w:p w14:paraId="6BA2CAE1" w14:textId="77777777" w:rsidR="003F5D06" w:rsidRDefault="003F5D06" w:rsidP="00F94995">
            <w:pPr>
              <w:pStyle w:val="ListParagraph"/>
              <w:spacing w:line="360" w:lineRule="auto"/>
              <w:ind w:left="0"/>
              <w:jc w:val="both"/>
              <w:rPr>
                <w:rFonts w:ascii="Times" w:hAnsi="Times"/>
              </w:rPr>
            </w:pPr>
            <w:r>
              <w:rPr>
                <w:rFonts w:ascii="Times" w:hAnsi="Times"/>
              </w:rPr>
              <w:t>Bachelor’s degree or Higher: 35.9%</w:t>
            </w:r>
          </w:p>
        </w:tc>
        <w:tc>
          <w:tcPr>
            <w:tcW w:w="2245" w:type="dxa"/>
          </w:tcPr>
          <w:p w14:paraId="5F4E17B1" w14:textId="77777777" w:rsidR="003F5D06" w:rsidRDefault="003F5D06" w:rsidP="00F94995">
            <w:pPr>
              <w:pStyle w:val="ListParagraph"/>
              <w:spacing w:line="360" w:lineRule="auto"/>
              <w:ind w:left="0"/>
              <w:jc w:val="both"/>
              <w:rPr>
                <w:rFonts w:ascii="Times" w:hAnsi="Times"/>
              </w:rPr>
            </w:pPr>
            <w:r>
              <w:rPr>
                <w:rFonts w:ascii="Times" w:hAnsi="Times"/>
              </w:rPr>
              <w:t xml:space="preserve">58.8% </w:t>
            </w:r>
            <w:proofErr w:type="gramStart"/>
            <w:r>
              <w:rPr>
                <w:rFonts w:ascii="Times" w:hAnsi="Times"/>
              </w:rPr>
              <w:t>Bachelor’s Degree</w:t>
            </w:r>
            <w:proofErr w:type="gramEnd"/>
            <w:r>
              <w:rPr>
                <w:rFonts w:ascii="Times" w:hAnsi="Times"/>
              </w:rPr>
              <w:t xml:space="preserve"> or Higher</w:t>
            </w:r>
          </w:p>
        </w:tc>
      </w:tr>
      <w:tr w:rsidR="003F5D06" w14:paraId="512CD53D" w14:textId="77777777" w:rsidTr="00F94995">
        <w:tc>
          <w:tcPr>
            <w:tcW w:w="2598" w:type="dxa"/>
          </w:tcPr>
          <w:p w14:paraId="76DF4F3F" w14:textId="77777777" w:rsidR="003F5D06" w:rsidRDefault="003F5D06" w:rsidP="00F94995">
            <w:pPr>
              <w:pStyle w:val="ListParagraph"/>
              <w:spacing w:line="360" w:lineRule="auto"/>
              <w:ind w:left="0"/>
              <w:jc w:val="both"/>
              <w:rPr>
                <w:rFonts w:ascii="Times" w:hAnsi="Times"/>
              </w:rPr>
            </w:pPr>
            <w:r>
              <w:rPr>
                <w:rFonts w:ascii="Times" w:hAnsi="Times"/>
              </w:rPr>
              <w:t>Employment</w:t>
            </w:r>
          </w:p>
        </w:tc>
        <w:tc>
          <w:tcPr>
            <w:tcW w:w="3067" w:type="dxa"/>
          </w:tcPr>
          <w:p w14:paraId="6FF0091D" w14:textId="77777777" w:rsidR="003F5D06" w:rsidRDefault="003F5D06" w:rsidP="00F94995">
            <w:pPr>
              <w:pStyle w:val="ListParagraph"/>
              <w:spacing w:line="360" w:lineRule="auto"/>
              <w:ind w:left="0"/>
              <w:jc w:val="both"/>
              <w:rPr>
                <w:rFonts w:ascii="Times" w:hAnsi="Times"/>
              </w:rPr>
            </w:pPr>
            <w:r>
              <w:rPr>
                <w:rFonts w:ascii="Times" w:hAnsi="Times"/>
              </w:rPr>
              <w:t>63.3%</w:t>
            </w:r>
          </w:p>
        </w:tc>
        <w:tc>
          <w:tcPr>
            <w:tcW w:w="2245" w:type="dxa"/>
          </w:tcPr>
          <w:p w14:paraId="669A86A8" w14:textId="77777777" w:rsidR="003F5D06" w:rsidRDefault="003F5D06" w:rsidP="00F94995">
            <w:pPr>
              <w:pStyle w:val="ListParagraph"/>
              <w:spacing w:line="360" w:lineRule="auto"/>
              <w:ind w:left="0"/>
              <w:jc w:val="both"/>
              <w:rPr>
                <w:rFonts w:ascii="Times" w:hAnsi="Times"/>
              </w:rPr>
            </w:pPr>
            <w:r>
              <w:rPr>
                <w:rFonts w:ascii="Times" w:hAnsi="Times"/>
              </w:rPr>
              <w:t>71.9% (2023 Survey)</w:t>
            </w:r>
          </w:p>
        </w:tc>
      </w:tr>
      <w:tr w:rsidR="003F5D06" w14:paraId="0565212B" w14:textId="77777777" w:rsidTr="00F94995">
        <w:tc>
          <w:tcPr>
            <w:tcW w:w="2598" w:type="dxa"/>
          </w:tcPr>
          <w:p w14:paraId="3FFD68D1" w14:textId="77777777" w:rsidR="003F5D06" w:rsidRDefault="003F5D06" w:rsidP="00F94995">
            <w:pPr>
              <w:pStyle w:val="ListParagraph"/>
              <w:spacing w:line="360" w:lineRule="auto"/>
              <w:ind w:left="0"/>
              <w:jc w:val="both"/>
              <w:rPr>
                <w:rFonts w:ascii="Times" w:hAnsi="Times"/>
              </w:rPr>
            </w:pPr>
            <w:r>
              <w:rPr>
                <w:rFonts w:ascii="Times" w:hAnsi="Times"/>
              </w:rPr>
              <w:t>Housing</w:t>
            </w:r>
          </w:p>
        </w:tc>
        <w:tc>
          <w:tcPr>
            <w:tcW w:w="3067" w:type="dxa"/>
          </w:tcPr>
          <w:p w14:paraId="77AAE3BA" w14:textId="77777777" w:rsidR="003F5D06" w:rsidRDefault="003F5D06" w:rsidP="00F94995">
            <w:pPr>
              <w:pStyle w:val="ListParagraph"/>
              <w:spacing w:line="360" w:lineRule="auto"/>
              <w:ind w:left="0"/>
              <w:jc w:val="both"/>
              <w:rPr>
                <w:rFonts w:ascii="Times" w:hAnsi="Times"/>
              </w:rPr>
            </w:pPr>
            <w:r>
              <w:rPr>
                <w:rFonts w:ascii="Times" w:hAnsi="Times"/>
              </w:rPr>
              <w:t>424,191 units</w:t>
            </w:r>
          </w:p>
        </w:tc>
        <w:tc>
          <w:tcPr>
            <w:tcW w:w="2245" w:type="dxa"/>
          </w:tcPr>
          <w:p w14:paraId="71EF538C" w14:textId="77777777" w:rsidR="003F5D06" w:rsidRDefault="003F5D06" w:rsidP="00F94995">
            <w:pPr>
              <w:pStyle w:val="ListParagraph"/>
              <w:spacing w:line="360" w:lineRule="auto"/>
              <w:ind w:left="0"/>
              <w:jc w:val="both"/>
              <w:rPr>
                <w:rFonts w:ascii="Times" w:hAnsi="Times"/>
              </w:rPr>
            </w:pPr>
            <w:r>
              <w:rPr>
                <w:rFonts w:ascii="Times" w:hAnsi="Times"/>
              </w:rPr>
              <w:t>199,143 units</w:t>
            </w:r>
          </w:p>
        </w:tc>
      </w:tr>
      <w:tr w:rsidR="003F5D06" w14:paraId="365BC589" w14:textId="77777777" w:rsidTr="00F94995">
        <w:tc>
          <w:tcPr>
            <w:tcW w:w="2598" w:type="dxa"/>
          </w:tcPr>
          <w:p w14:paraId="13B6131D" w14:textId="77777777" w:rsidR="003F5D06" w:rsidRDefault="003F5D06" w:rsidP="00F94995">
            <w:pPr>
              <w:pStyle w:val="ListParagraph"/>
              <w:spacing w:line="360" w:lineRule="auto"/>
              <w:ind w:left="0"/>
              <w:jc w:val="both"/>
              <w:rPr>
                <w:rFonts w:ascii="Times" w:hAnsi="Times"/>
              </w:rPr>
            </w:pPr>
            <w:r>
              <w:rPr>
                <w:rFonts w:ascii="Times" w:hAnsi="Times"/>
              </w:rPr>
              <w:t>Families and Living Arrangements</w:t>
            </w:r>
          </w:p>
        </w:tc>
        <w:tc>
          <w:tcPr>
            <w:tcW w:w="3067" w:type="dxa"/>
          </w:tcPr>
          <w:p w14:paraId="4B08049E" w14:textId="77777777" w:rsidR="003F5D06" w:rsidRDefault="003F5D06" w:rsidP="00F94995">
            <w:pPr>
              <w:pStyle w:val="ListParagraph"/>
              <w:spacing w:line="360" w:lineRule="auto"/>
              <w:ind w:left="0"/>
              <w:jc w:val="both"/>
              <w:rPr>
                <w:rFonts w:ascii="Times" w:hAnsi="Times"/>
              </w:rPr>
            </w:pPr>
            <w:r>
              <w:rPr>
                <w:rFonts w:ascii="Times" w:hAnsi="Times"/>
              </w:rPr>
              <w:t>388,165 Households (2023 survey 1 year estimate)</w:t>
            </w:r>
          </w:p>
        </w:tc>
        <w:tc>
          <w:tcPr>
            <w:tcW w:w="2245" w:type="dxa"/>
          </w:tcPr>
          <w:p w14:paraId="0DA60D60" w14:textId="77777777" w:rsidR="003F5D06" w:rsidRDefault="003F5D06" w:rsidP="00F94995">
            <w:pPr>
              <w:pStyle w:val="ListParagraph"/>
              <w:spacing w:line="360" w:lineRule="auto"/>
              <w:ind w:left="0"/>
              <w:jc w:val="both"/>
              <w:rPr>
                <w:rFonts w:ascii="Times" w:hAnsi="Times"/>
              </w:rPr>
            </w:pPr>
            <w:r>
              <w:rPr>
                <w:rFonts w:ascii="Times" w:hAnsi="Times"/>
              </w:rPr>
              <w:t>198,866 households</w:t>
            </w:r>
          </w:p>
        </w:tc>
      </w:tr>
    </w:tbl>
    <w:p w14:paraId="79B5F24E" w14:textId="77777777" w:rsidR="003F5D06" w:rsidRDefault="003F5D06" w:rsidP="003F5D06">
      <w:pPr>
        <w:pStyle w:val="ListParagraph"/>
        <w:spacing w:line="360" w:lineRule="auto"/>
        <w:jc w:val="center"/>
        <w:rPr>
          <w:rFonts w:ascii="Times" w:hAnsi="Times"/>
        </w:rPr>
      </w:pPr>
      <w:r>
        <w:rPr>
          <w:rFonts w:ascii="Times" w:hAnsi="Times"/>
        </w:rPr>
        <w:t xml:space="preserve">Figure 3- </w:t>
      </w:r>
      <w:r w:rsidRPr="00344778">
        <w:rPr>
          <w:rFonts w:ascii="Times" w:hAnsi="Times"/>
        </w:rPr>
        <w:t>Census Bureau</w:t>
      </w:r>
      <w:r w:rsidRPr="00AF4DF6">
        <w:rPr>
          <w:rFonts w:ascii="Times" w:hAnsi="Times"/>
        </w:rPr>
        <w:t xml:space="preserve"> sections</w:t>
      </w:r>
      <w:r>
        <w:rPr>
          <w:rFonts w:ascii="Times" w:hAnsi="Times"/>
        </w:rPr>
        <w:t xml:space="preserve"> </w:t>
      </w:r>
    </w:p>
    <w:p w14:paraId="541D9CDC" w14:textId="77777777" w:rsidR="003F5D06" w:rsidRDefault="003F5D06" w:rsidP="003F5D06">
      <w:pPr>
        <w:pStyle w:val="ListParagraph"/>
        <w:spacing w:line="480" w:lineRule="auto"/>
        <w:jc w:val="both"/>
        <w:rPr>
          <w:rFonts w:ascii="Times" w:hAnsi="Times"/>
        </w:rPr>
      </w:pPr>
    </w:p>
    <w:p w14:paraId="0F178DCD" w14:textId="77777777" w:rsidR="003F5D06" w:rsidRPr="003F5D06" w:rsidRDefault="003F5D06" w:rsidP="003F5D06">
      <w:pPr>
        <w:spacing w:line="480" w:lineRule="auto"/>
        <w:jc w:val="both"/>
        <w:rPr>
          <w:rFonts w:ascii="Times" w:hAnsi="Times"/>
        </w:rPr>
      </w:pPr>
      <w:r w:rsidRPr="003F5D06">
        <w:rPr>
          <w:rFonts w:ascii="Times" w:hAnsi="Times"/>
        </w:rPr>
        <w:t>Milwaukee County, Wisconsin, and Minneapolis exhibit significant differences in key demographic and economic indicators:</w:t>
      </w:r>
    </w:p>
    <w:p w14:paraId="15A797D7" w14:textId="77777777" w:rsidR="003F5D06" w:rsidRPr="003F5D06" w:rsidRDefault="003F5D06" w:rsidP="003F5D06">
      <w:pPr>
        <w:spacing w:line="480" w:lineRule="auto"/>
        <w:jc w:val="both"/>
        <w:rPr>
          <w:rFonts w:ascii="Times" w:hAnsi="Times"/>
        </w:rPr>
      </w:pPr>
      <w:r w:rsidRPr="003F5D06">
        <w:rPr>
          <w:rFonts w:ascii="Times" w:hAnsi="Times"/>
          <w:b/>
          <w:bCs/>
        </w:rPr>
        <w:t>Population:</w:t>
      </w:r>
      <w:r w:rsidRPr="003F5D06">
        <w:rPr>
          <w:rFonts w:ascii="Times" w:hAnsi="Times"/>
        </w:rPr>
        <w:t xml:space="preserve"> Milwaukee County has a larger population of 939,489 compared to Minneapolis’ 429,954 (shown in figure 3). It means Milwaukee has a population more than 2.1 times larger than Minneapolis. This suggests that Milwaukee County is a larger geographic area, which includes both urban and suburban regions. Therefore, Milwaukee County could provide a broader overall market, particularly in terms of potential residents and housing demand across a wider range of housing types (single-family homes, multifamily units, </w:t>
      </w:r>
      <w:proofErr w:type="spellStart"/>
      <w:r w:rsidRPr="003F5D06">
        <w:rPr>
          <w:rFonts w:ascii="Times" w:hAnsi="Times"/>
        </w:rPr>
        <w:t>etc</w:t>
      </w:r>
      <w:proofErr w:type="spellEnd"/>
      <w:r w:rsidRPr="003F5D06">
        <w:rPr>
          <w:rFonts w:ascii="Times" w:hAnsi="Times"/>
        </w:rPr>
        <w:t xml:space="preserve">,). On the other hand, Minneapolis, with a population of nearly 430,000 is more urbanized, meaning it likely has higher population density in a smaller geographic area. A more concentrated urban population could suggest greater demand for high-density housing, such as apartments, condos, and smaller rental units. Although Minneapolis has a smaller population of 429,954, it boasts a robust demand for rental properties driven by its strong economic fundamentals and quality of life. The recent surge </w:t>
      </w:r>
      <w:r w:rsidRPr="003F5D06">
        <w:rPr>
          <w:rFonts w:ascii="Times" w:hAnsi="Times"/>
        </w:rPr>
        <w:lastRenderedPageBreak/>
        <w:t xml:space="preserve">in new construction (adding more than 20,000 new units </w:t>
      </w:r>
      <w:r>
        <w:rPr>
          <w:rStyle w:val="FootnoteReference"/>
          <w:rFonts w:ascii="Times" w:hAnsi="Times"/>
        </w:rPr>
        <w:footnoteReference w:id="1"/>
      </w:r>
      <w:r w:rsidRPr="003F5D06">
        <w:rPr>
          <w:rFonts w:ascii="Times" w:hAnsi="Times"/>
        </w:rPr>
        <w:t>). Suggests that demand is meeting supply effectively in many submarkets.</w:t>
      </w:r>
    </w:p>
    <w:p w14:paraId="5978C694" w14:textId="77777777" w:rsidR="003F5D06" w:rsidRPr="003F5D06" w:rsidRDefault="003F5D06" w:rsidP="003F5D06">
      <w:pPr>
        <w:spacing w:line="480" w:lineRule="auto"/>
        <w:jc w:val="both"/>
        <w:rPr>
          <w:rFonts w:ascii="Times" w:hAnsi="Times"/>
        </w:rPr>
      </w:pPr>
      <w:r w:rsidRPr="003F5D06">
        <w:rPr>
          <w:rFonts w:ascii="Times" w:hAnsi="Times"/>
          <w:b/>
          <w:bCs/>
        </w:rPr>
        <w:t>Implication:</w:t>
      </w:r>
      <w:r w:rsidRPr="003F5D06">
        <w:rPr>
          <w:rFonts w:ascii="Times" w:hAnsi="Times"/>
        </w:rPr>
        <w:t xml:space="preserve"> Milwaukee County has more suburban housing developments and broader market diversity in housing options. Minneapolis shows a greater number of urban housing types as a reflection of a more urbanized and concentrated population.</w:t>
      </w:r>
    </w:p>
    <w:p w14:paraId="096713CE" w14:textId="77777777" w:rsidR="003F5D06" w:rsidRDefault="003F5D06" w:rsidP="003F5D06">
      <w:pPr>
        <w:spacing w:line="480" w:lineRule="auto"/>
        <w:jc w:val="both"/>
        <w:rPr>
          <w:rFonts w:ascii="Times" w:hAnsi="Times"/>
          <w:b/>
          <w:bCs/>
        </w:rPr>
      </w:pPr>
      <w:r>
        <w:rPr>
          <w:rFonts w:ascii="Times" w:hAnsi="Times"/>
          <w:b/>
          <w:bCs/>
        </w:rPr>
        <w:t>Median Household Income:</w:t>
      </w:r>
    </w:p>
    <w:p w14:paraId="526F78DC" w14:textId="6D738C8E" w:rsidR="003F5D06" w:rsidRDefault="003F5D06" w:rsidP="003F5D06">
      <w:pPr>
        <w:spacing w:line="480" w:lineRule="auto"/>
        <w:jc w:val="both"/>
        <w:rPr>
          <w:rFonts w:ascii="Times" w:hAnsi="Times"/>
        </w:rPr>
      </w:pPr>
      <w:r>
        <w:rPr>
          <w:rFonts w:ascii="Times" w:hAnsi="Times"/>
        </w:rPr>
        <w:t>Minneapolis has a substantially higher median household income of $81,001</w:t>
      </w:r>
      <w:r w:rsidRPr="002A36E3">
        <w:t xml:space="preserve"> </w:t>
      </w:r>
      <w:r w:rsidRPr="002A36E3">
        <w:rPr>
          <w:rFonts w:ascii="Times" w:hAnsi="Times"/>
        </w:rPr>
        <w:t xml:space="preserve">aligns with the client’s expectations for target renters </w:t>
      </w:r>
      <w:r>
        <w:rPr>
          <w:rFonts w:ascii="Times" w:hAnsi="Times"/>
        </w:rPr>
        <w:t>(shown in Figure 3), which is higher than 28% compared to Milwaukee County, with $63,185. This suggests that residents in Minneapolis have more disposable income, which can drive higher demand for higher-end housing options, both for rent and for buying. A higher median income could mean more spending power and potentially greater demand for luxury housing or areas where high-income households seek premium housing.</w:t>
      </w:r>
    </w:p>
    <w:p w14:paraId="197C8483" w14:textId="04E41B66" w:rsidR="003F5D06" w:rsidRDefault="003F5D06" w:rsidP="003F5D06">
      <w:pPr>
        <w:spacing w:line="480" w:lineRule="auto"/>
        <w:jc w:val="both"/>
        <w:rPr>
          <w:rFonts w:ascii="Times" w:hAnsi="Times"/>
        </w:rPr>
      </w:pPr>
      <w:r>
        <w:rPr>
          <w:rFonts w:ascii="Times" w:hAnsi="Times"/>
        </w:rPr>
        <w:t>Implication: In Minneapolis, the higher median income supports the possibility of a more expensive housing market, with higher demand for both luxury rentals and homeownership. In Milwaukee County, the lower median income suggests that affordable housing can lead to higher demand, particularly for working-class or lower-income families. Investors in this market can find this opportunity in affordable housing or workforce housing.</w:t>
      </w:r>
    </w:p>
    <w:p w14:paraId="58F46157" w14:textId="77777777" w:rsidR="003F5D06" w:rsidRPr="002A36E3" w:rsidRDefault="003F5D06" w:rsidP="003F5D06">
      <w:pPr>
        <w:spacing w:line="480" w:lineRule="auto"/>
        <w:jc w:val="both"/>
        <w:rPr>
          <w:rFonts w:ascii="Times" w:hAnsi="Times"/>
          <w:b/>
          <w:bCs/>
        </w:rPr>
      </w:pPr>
      <w:r>
        <w:rPr>
          <w:rFonts w:ascii="Times" w:hAnsi="Times"/>
          <w:b/>
          <w:bCs/>
        </w:rPr>
        <w:t>Families and Livings Arrangements:</w:t>
      </w:r>
    </w:p>
    <w:p w14:paraId="324738F2" w14:textId="77777777" w:rsidR="003F5D06" w:rsidRPr="00902482" w:rsidRDefault="003F5D06" w:rsidP="003F5D06">
      <w:pPr>
        <w:spacing w:line="480" w:lineRule="auto"/>
        <w:jc w:val="both"/>
        <w:rPr>
          <w:rFonts w:ascii="Times" w:hAnsi="Times"/>
        </w:rPr>
      </w:pPr>
      <w:r w:rsidRPr="002A36E3">
        <w:rPr>
          <w:rFonts w:ascii="Times" w:hAnsi="Times"/>
        </w:rPr>
        <w:t>In Milwaukee County, it has 388,165 households</w:t>
      </w:r>
      <w:r>
        <w:rPr>
          <w:rFonts w:ascii="Times" w:hAnsi="Times"/>
        </w:rPr>
        <w:t xml:space="preserve"> (Figure 3)</w:t>
      </w:r>
      <w:r w:rsidRPr="002A36E3">
        <w:rPr>
          <w:rFonts w:ascii="Times" w:hAnsi="Times"/>
        </w:rPr>
        <w:t xml:space="preserve">, which aligns with its larger population. This figure indicates a substantial number of potential renters, particularly in </w:t>
      </w:r>
      <w:r w:rsidRPr="002A36E3">
        <w:rPr>
          <w:rFonts w:ascii="Times" w:hAnsi="Times"/>
        </w:rPr>
        <w:lastRenderedPageBreak/>
        <w:t xml:space="preserve">urban areas where multifamily housing is prevalent. For Minneapolis, with 198,866 households that is fewer households but benefits from a higher percentage of educated residents and a strong job market. This growing trend of renting as a lifestyle choice rather than a transitional phase contributes to increased demand for multifamily units. </w:t>
      </w:r>
    </w:p>
    <w:p w14:paraId="71607CCB" w14:textId="77777777" w:rsidR="003F5D06" w:rsidRPr="00902482" w:rsidRDefault="003F5D06" w:rsidP="003F5D06">
      <w:pPr>
        <w:spacing w:line="480" w:lineRule="auto"/>
        <w:jc w:val="both"/>
        <w:rPr>
          <w:rFonts w:ascii="Times" w:hAnsi="Times"/>
        </w:rPr>
      </w:pPr>
      <w:r w:rsidRPr="00902482">
        <w:rPr>
          <w:rFonts w:ascii="Times" w:hAnsi="Times"/>
          <w:b/>
          <w:bCs/>
        </w:rPr>
        <w:t>Employment:</w:t>
      </w:r>
      <w:r w:rsidRPr="00902482">
        <w:rPr>
          <w:rFonts w:ascii="Times" w:hAnsi="Times"/>
        </w:rPr>
        <w:t xml:space="preserve"> Minneapolis has a higher employment rate at 71.9% compared to Milwaukee County’s 63.3%, suggesting its larger population. (Figure 3)</w:t>
      </w:r>
    </w:p>
    <w:p w14:paraId="1DA072A2" w14:textId="77777777" w:rsidR="003F5D06" w:rsidRPr="00902482" w:rsidRDefault="003F5D06" w:rsidP="003F5D06">
      <w:pPr>
        <w:spacing w:line="480" w:lineRule="auto"/>
        <w:jc w:val="both"/>
        <w:rPr>
          <w:rFonts w:ascii="Times" w:hAnsi="Times"/>
        </w:rPr>
      </w:pPr>
      <w:r w:rsidRPr="00902482">
        <w:rPr>
          <w:rFonts w:ascii="Times" w:hAnsi="Times"/>
        </w:rPr>
        <w:t>Employment rate is another important metric to analyze, as it provides insights into the relative economic health and the demand for housing. This reflects a healthier economy. We can see that Minneapolis has a higher percentage of employees compared to Milwaukee County. With higher employment rate generally suggests a stronger local economy and potentially higher demand for housing, particularly rent housing. Stronger demand for housing as employed individuals are more likely to rent or buy homes for high quality rental units.</w:t>
      </w:r>
    </w:p>
    <w:p w14:paraId="2F5A6022" w14:textId="77777777" w:rsidR="003F5D06" w:rsidRPr="00902482" w:rsidRDefault="003F5D06" w:rsidP="003F5D06">
      <w:pPr>
        <w:spacing w:line="480" w:lineRule="auto"/>
        <w:jc w:val="both"/>
        <w:rPr>
          <w:rFonts w:ascii="Times" w:hAnsi="Times"/>
        </w:rPr>
      </w:pPr>
      <w:r w:rsidRPr="00902482">
        <w:rPr>
          <w:rFonts w:ascii="Times" w:hAnsi="Times"/>
        </w:rPr>
        <w:t>On the other hand, the relatively lower employment rate in Milwaukee County could indicate that a larger portion of the population is either unemployed, underemployed, or retired. This could lead to lower overall demand for housing, especially at the higher-end market. However, there might be a greater reliance on rental housing in more affordable price ranges.</w:t>
      </w:r>
    </w:p>
    <w:p w14:paraId="3926C36E" w14:textId="77777777" w:rsidR="003F5D06" w:rsidRDefault="003F5D06" w:rsidP="003F5D06">
      <w:pPr>
        <w:spacing w:line="480" w:lineRule="auto"/>
        <w:jc w:val="both"/>
        <w:rPr>
          <w:rFonts w:ascii="Times" w:hAnsi="Times"/>
        </w:rPr>
      </w:pPr>
      <w:r w:rsidRPr="00902482">
        <w:rPr>
          <w:rFonts w:ascii="Times" w:hAnsi="Times"/>
        </w:rPr>
        <w:t xml:space="preserve">As a result, with higher employment, Minneapolis has greater purchasing power and housing demand. This can affect both rental markets and homeownership. </w:t>
      </w:r>
    </w:p>
    <w:p w14:paraId="1F242CF4" w14:textId="77777777" w:rsidR="003F5D06" w:rsidRDefault="003F5D06" w:rsidP="003F5D06">
      <w:pPr>
        <w:spacing w:line="480" w:lineRule="auto"/>
        <w:jc w:val="both"/>
        <w:rPr>
          <w:rFonts w:ascii="Times" w:hAnsi="Times"/>
          <w:b/>
          <w:bCs/>
        </w:rPr>
      </w:pPr>
      <w:r w:rsidRPr="004C060E">
        <w:rPr>
          <w:rFonts w:ascii="Times" w:hAnsi="Times"/>
          <w:b/>
          <w:bCs/>
        </w:rPr>
        <w:t>Education:</w:t>
      </w:r>
    </w:p>
    <w:p w14:paraId="49DD45E3" w14:textId="3DB471E7" w:rsidR="003F5D06" w:rsidRPr="004C060E" w:rsidRDefault="003F5D06" w:rsidP="003F5D06">
      <w:pPr>
        <w:spacing w:line="480" w:lineRule="auto"/>
        <w:jc w:val="both"/>
        <w:rPr>
          <w:rFonts w:ascii="Times" w:hAnsi="Times"/>
        </w:rPr>
      </w:pPr>
      <w:r>
        <w:rPr>
          <w:rFonts w:ascii="Times" w:hAnsi="Times"/>
        </w:rPr>
        <w:t xml:space="preserve">The disparity in educational attainment between Milwaukee County and Minneapolis is significant, with Minneapolis having a notably higher percentage of residents holding a </w:t>
      </w:r>
      <w:r>
        <w:rPr>
          <w:rFonts w:ascii="Times" w:hAnsi="Times"/>
        </w:rPr>
        <w:lastRenderedPageBreak/>
        <w:t xml:space="preserve">bachelor’s degree or higher (58.8% - figure 5). The difference of 22.9% indicates a substantial educational gap between Minneapolis and Milwaukee. Minneapolis has a much higher proportion of residents who are college-educated. This has several implications for housing, economic development, and overall market dynamics. Milwaukee County might have fewer opportunities in high-growth industries like tech or finance, which often rely on a highly educated workforce. As a result, demand for housing in Milwaukee County may </w:t>
      </w:r>
      <w:r w:rsidR="00B314F4">
        <w:rPr>
          <w:rFonts w:ascii="Times" w:hAnsi="Times"/>
        </w:rPr>
        <w:t xml:space="preserve">be </w:t>
      </w:r>
      <w:r>
        <w:rPr>
          <w:rFonts w:ascii="Times" w:hAnsi="Times"/>
        </w:rPr>
        <w:t>toward affordable housing and family</w:t>
      </w:r>
      <w:r w:rsidR="00B314F4">
        <w:rPr>
          <w:rFonts w:ascii="Times" w:hAnsi="Times"/>
        </w:rPr>
        <w:t>-</w:t>
      </w:r>
      <w:r>
        <w:rPr>
          <w:rFonts w:ascii="Times" w:hAnsi="Times"/>
        </w:rPr>
        <w:t>oriented housing, rather than luxury or high</w:t>
      </w:r>
      <w:r w:rsidR="00B314F4">
        <w:rPr>
          <w:rFonts w:ascii="Times" w:hAnsi="Times"/>
        </w:rPr>
        <w:t>-</w:t>
      </w:r>
      <w:r>
        <w:rPr>
          <w:rFonts w:ascii="Times" w:hAnsi="Times"/>
        </w:rPr>
        <w:t>rise apartments targeting young professionals.</w:t>
      </w:r>
    </w:p>
    <w:p w14:paraId="48CEE69D" w14:textId="77777777" w:rsidR="003F5D06" w:rsidRDefault="003F5D06" w:rsidP="003F5D06">
      <w:pPr>
        <w:pStyle w:val="ListParagraph"/>
        <w:spacing w:line="360" w:lineRule="auto"/>
        <w:jc w:val="both"/>
        <w:rPr>
          <w:rFonts w:ascii="Times" w:hAnsi="Times"/>
        </w:rPr>
      </w:pPr>
    </w:p>
    <w:p w14:paraId="4471E402" w14:textId="77777777" w:rsidR="003F5D06" w:rsidRDefault="003F5D06" w:rsidP="003F5D06">
      <w:pPr>
        <w:pStyle w:val="ListParagraph"/>
        <w:spacing w:line="360" w:lineRule="auto"/>
        <w:jc w:val="both"/>
        <w:rPr>
          <w:rFonts w:ascii="Times" w:hAnsi="Times"/>
        </w:rPr>
      </w:pPr>
      <w:r>
        <w:rPr>
          <w:rFonts w:ascii="Times" w:hAnsi="Times"/>
          <w:noProof/>
        </w:rPr>
        <w:drawing>
          <wp:inline distT="0" distB="0" distL="0" distR="0" wp14:anchorId="32C47D7C" wp14:editId="370ECA06">
            <wp:extent cx="5486400" cy="4515485"/>
            <wp:effectExtent l="0" t="0" r="0" b="5715"/>
            <wp:docPr id="15684648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93121" name="Picture 6" descr="A screenshot of a computer&#10;&#10;Description automatically generated"/>
                    <pic:cNvPicPr/>
                  </pic:nvPicPr>
                  <pic:blipFill>
                    <a:blip r:embed="rId10"/>
                    <a:stretch>
                      <a:fillRect/>
                    </a:stretch>
                  </pic:blipFill>
                  <pic:spPr>
                    <a:xfrm>
                      <a:off x="0" y="0"/>
                      <a:ext cx="5486400" cy="4515485"/>
                    </a:xfrm>
                    <a:prstGeom prst="rect">
                      <a:avLst/>
                    </a:prstGeom>
                  </pic:spPr>
                </pic:pic>
              </a:graphicData>
            </a:graphic>
          </wp:inline>
        </w:drawing>
      </w:r>
    </w:p>
    <w:p w14:paraId="60450BCC" w14:textId="77777777" w:rsidR="003F5D06" w:rsidRDefault="003F5D06" w:rsidP="003F5D06">
      <w:pPr>
        <w:pStyle w:val="ListParagraph"/>
        <w:spacing w:line="360" w:lineRule="auto"/>
        <w:jc w:val="center"/>
        <w:rPr>
          <w:rFonts w:ascii="Times" w:hAnsi="Times"/>
        </w:rPr>
      </w:pPr>
      <w:r>
        <w:rPr>
          <w:rFonts w:ascii="Times" w:hAnsi="Times"/>
        </w:rPr>
        <w:t>Figure 4 – Educational Attainment of Milwaukee</w:t>
      </w:r>
    </w:p>
    <w:p w14:paraId="53E2809A" w14:textId="77777777" w:rsidR="003F5D06" w:rsidRDefault="003F5D06" w:rsidP="003F5D06">
      <w:pPr>
        <w:pStyle w:val="ListParagraph"/>
        <w:spacing w:line="360" w:lineRule="auto"/>
        <w:jc w:val="both"/>
        <w:rPr>
          <w:rFonts w:ascii="Times" w:hAnsi="Times"/>
        </w:rPr>
      </w:pPr>
      <w:r>
        <w:rPr>
          <w:rFonts w:ascii="Times" w:hAnsi="Times"/>
          <w:noProof/>
          <w:sz w:val="16"/>
          <w:szCs w:val="16"/>
        </w:rPr>
        <w:lastRenderedPageBreak/>
        <w:drawing>
          <wp:inline distT="0" distB="0" distL="0" distR="0" wp14:anchorId="4D692910" wp14:editId="56591F55">
            <wp:extent cx="5486400" cy="4205605"/>
            <wp:effectExtent l="0" t="0" r="0" b="0"/>
            <wp:docPr id="18550733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3640" name="Picture 15" descr="A screenshot of a computer&#10;&#10;Description automatically generated"/>
                    <pic:cNvPicPr/>
                  </pic:nvPicPr>
                  <pic:blipFill>
                    <a:blip r:embed="rId11"/>
                    <a:stretch>
                      <a:fillRect/>
                    </a:stretch>
                  </pic:blipFill>
                  <pic:spPr>
                    <a:xfrm>
                      <a:off x="0" y="0"/>
                      <a:ext cx="5486400" cy="4205605"/>
                    </a:xfrm>
                    <a:prstGeom prst="rect">
                      <a:avLst/>
                    </a:prstGeom>
                  </pic:spPr>
                </pic:pic>
              </a:graphicData>
            </a:graphic>
          </wp:inline>
        </w:drawing>
      </w:r>
    </w:p>
    <w:p w14:paraId="336C7893" w14:textId="77777777" w:rsidR="003F5D06" w:rsidRDefault="003F5D06" w:rsidP="003F5D06">
      <w:pPr>
        <w:pStyle w:val="ListParagraph"/>
        <w:spacing w:line="360" w:lineRule="auto"/>
        <w:jc w:val="center"/>
        <w:rPr>
          <w:rFonts w:ascii="Times" w:hAnsi="Times"/>
        </w:rPr>
      </w:pPr>
      <w:r>
        <w:rPr>
          <w:rFonts w:ascii="Times" w:hAnsi="Times"/>
        </w:rPr>
        <w:t>Figure 5- Educational Attainment of Minneapolis</w:t>
      </w:r>
    </w:p>
    <w:p w14:paraId="635A7711" w14:textId="6B491081" w:rsidR="003F5D06" w:rsidRPr="00902482" w:rsidRDefault="003F5D06" w:rsidP="003F5D06">
      <w:pPr>
        <w:spacing w:line="480" w:lineRule="auto"/>
        <w:jc w:val="both"/>
        <w:rPr>
          <w:rFonts w:ascii="Times" w:hAnsi="Times"/>
        </w:rPr>
      </w:pPr>
      <w:r w:rsidRPr="00902482">
        <w:rPr>
          <w:rFonts w:ascii="Times" w:hAnsi="Times"/>
        </w:rPr>
        <w:t xml:space="preserve">Based on these insights, it’s clear that while Milwaukee has a larger population and more households, indicating a generally broader market for multifamily housing, recent trends show population declines. Milwaukee </w:t>
      </w:r>
      <w:r w:rsidR="003F784E">
        <w:rPr>
          <w:rFonts w:ascii="Times" w:hAnsi="Times"/>
        </w:rPr>
        <w:t>dropped</w:t>
      </w:r>
      <w:r w:rsidRPr="00902482">
        <w:rPr>
          <w:rFonts w:ascii="Times" w:hAnsi="Times"/>
        </w:rPr>
        <w:t xml:space="preserve"> approximately 2,200 residents in 2023, which </w:t>
      </w:r>
      <w:r w:rsidR="003F784E">
        <w:rPr>
          <w:rFonts w:ascii="Times" w:hAnsi="Times"/>
        </w:rPr>
        <w:t>potentially</w:t>
      </w:r>
      <w:r w:rsidRPr="00902482">
        <w:rPr>
          <w:rFonts w:ascii="Times" w:hAnsi="Times"/>
        </w:rPr>
        <w:t xml:space="preserve"> impact</w:t>
      </w:r>
      <w:r w:rsidR="003F784E">
        <w:rPr>
          <w:rFonts w:ascii="Times" w:hAnsi="Times"/>
        </w:rPr>
        <w:t>s</w:t>
      </w:r>
      <w:r w:rsidRPr="00902482">
        <w:rPr>
          <w:rFonts w:ascii="Times" w:hAnsi="Times"/>
        </w:rPr>
        <w:t xml:space="preserve"> future housing demand. </w:t>
      </w:r>
      <w:r w:rsidR="003F784E">
        <w:rPr>
          <w:rFonts w:ascii="Times" w:hAnsi="Times"/>
        </w:rPr>
        <w:t>On the other hand</w:t>
      </w:r>
      <w:r w:rsidRPr="00902482">
        <w:rPr>
          <w:rFonts w:ascii="Times" w:hAnsi="Times"/>
        </w:rPr>
        <w:t xml:space="preserve">, despite </w:t>
      </w:r>
      <w:r w:rsidR="003F784E">
        <w:rPr>
          <w:rFonts w:ascii="Times" w:hAnsi="Times"/>
        </w:rPr>
        <w:t>Minneapolis has</w:t>
      </w:r>
      <w:r w:rsidRPr="00902482">
        <w:rPr>
          <w:rFonts w:ascii="Times" w:hAnsi="Times"/>
        </w:rPr>
        <w:t xml:space="preserve"> smaller size</w:t>
      </w:r>
      <w:r w:rsidR="003F784E">
        <w:rPr>
          <w:rFonts w:ascii="Times" w:hAnsi="Times"/>
        </w:rPr>
        <w:t xml:space="preserve"> of the population</w:t>
      </w:r>
      <w:r w:rsidRPr="00902482">
        <w:rPr>
          <w:rFonts w:ascii="Times" w:hAnsi="Times"/>
        </w:rPr>
        <w:t xml:space="preserve">, </w:t>
      </w:r>
      <w:r w:rsidR="003F784E">
        <w:rPr>
          <w:rFonts w:ascii="Times" w:hAnsi="Times"/>
        </w:rPr>
        <w:t>it is</w:t>
      </w:r>
      <w:r w:rsidRPr="00902482">
        <w:rPr>
          <w:rFonts w:ascii="Times" w:hAnsi="Times"/>
        </w:rPr>
        <w:t xml:space="preserve"> stable, a higher employment rate, and a more educated workforce. These factors could drive stronger demand for high-quality rental units. These elements position Minneapolis for more robust future growth in the multifamily housing sector, aligning well with the client’s investment strategy, which targets renters with higher incomes and educational attainment.</w:t>
      </w:r>
    </w:p>
    <w:p w14:paraId="2096B4F3" w14:textId="77777777" w:rsidR="003F5D06" w:rsidRDefault="003F5D06" w:rsidP="003F5D06">
      <w:pPr>
        <w:pStyle w:val="ListParagraph"/>
        <w:spacing w:line="360" w:lineRule="auto"/>
        <w:rPr>
          <w:rFonts w:ascii="Times" w:hAnsi="Times"/>
        </w:rPr>
      </w:pPr>
    </w:p>
    <w:p w14:paraId="50A885B9" w14:textId="77777777" w:rsidR="003F5D06" w:rsidRPr="00D92149" w:rsidRDefault="003F5D06" w:rsidP="003F5D06">
      <w:pPr>
        <w:spacing w:line="360" w:lineRule="auto"/>
        <w:rPr>
          <w:rFonts w:ascii="Times" w:hAnsi="Times"/>
        </w:rPr>
      </w:pPr>
    </w:p>
    <w:p w14:paraId="6C1EF3EE" w14:textId="77777777" w:rsidR="003F5D06" w:rsidRPr="00BC322F" w:rsidRDefault="003F5D06" w:rsidP="003F5D06">
      <w:pPr>
        <w:spacing w:line="360" w:lineRule="auto"/>
        <w:jc w:val="both"/>
        <w:rPr>
          <w:rFonts w:ascii="Times" w:hAnsi="Times"/>
          <w:b/>
          <w:bCs/>
        </w:rPr>
      </w:pPr>
      <w:r w:rsidRPr="00BC322F">
        <w:rPr>
          <w:rFonts w:ascii="Times" w:hAnsi="Times"/>
          <w:b/>
          <w:bCs/>
        </w:rPr>
        <w:lastRenderedPageBreak/>
        <w:t xml:space="preserve">Supply Side Analysis: </w:t>
      </w:r>
    </w:p>
    <w:p w14:paraId="7A80D69C" w14:textId="77777777" w:rsidR="003F5D06" w:rsidRPr="00902482" w:rsidRDefault="003F5D06" w:rsidP="003F5D06">
      <w:pPr>
        <w:spacing w:line="480" w:lineRule="auto"/>
        <w:jc w:val="both"/>
        <w:rPr>
          <w:rFonts w:ascii="Times" w:hAnsi="Times"/>
          <w:b/>
          <w:bCs/>
        </w:rPr>
      </w:pPr>
      <w:r w:rsidRPr="00902482">
        <w:rPr>
          <w:rFonts w:ascii="Times" w:hAnsi="Times"/>
          <w:b/>
          <w:bCs/>
        </w:rPr>
        <w:t>Housing Units Per Capita:</w:t>
      </w:r>
    </w:p>
    <w:p w14:paraId="3BB6271E" w14:textId="77777777" w:rsidR="003F5D06" w:rsidRDefault="003F5D06" w:rsidP="003F5D06">
      <w:pPr>
        <w:pStyle w:val="ListParagraph"/>
        <w:spacing w:line="480" w:lineRule="auto"/>
        <w:jc w:val="both"/>
        <w:rPr>
          <w:rFonts w:ascii="Times" w:hAnsi="Times"/>
        </w:rPr>
      </w:pPr>
      <w:r>
        <w:rPr>
          <w:rFonts w:ascii="Times" w:hAnsi="Times"/>
        </w:rPr>
        <w:t>Milwaukee County (Figure 6)</w:t>
      </w:r>
    </w:p>
    <w:p w14:paraId="56077AE5" w14:textId="77777777" w:rsidR="003F5D06" w:rsidRDefault="003F5D06" w:rsidP="003F5D06">
      <w:pPr>
        <w:pStyle w:val="ListParagraph"/>
        <w:spacing w:line="480" w:lineRule="auto"/>
        <w:jc w:val="both"/>
        <w:rPr>
          <w:rFonts w:ascii="Times" w:hAnsi="Times"/>
        </w:rPr>
      </w:pPr>
      <w:r>
        <w:rPr>
          <w:rFonts w:ascii="Times" w:hAnsi="Times"/>
        </w:rPr>
        <w:tab/>
        <w:t>Population: 939,489</w:t>
      </w:r>
    </w:p>
    <w:p w14:paraId="78028A97" w14:textId="77777777" w:rsidR="003F5D06" w:rsidRDefault="003F5D06" w:rsidP="003F5D06">
      <w:pPr>
        <w:pStyle w:val="ListParagraph"/>
        <w:spacing w:line="480" w:lineRule="auto"/>
        <w:jc w:val="both"/>
        <w:rPr>
          <w:rFonts w:ascii="Times" w:hAnsi="Times"/>
        </w:rPr>
      </w:pPr>
      <w:r>
        <w:rPr>
          <w:rFonts w:ascii="Times" w:hAnsi="Times"/>
        </w:rPr>
        <w:tab/>
        <w:t>Housing Units: 424,191</w:t>
      </w:r>
    </w:p>
    <w:p w14:paraId="148BB62C" w14:textId="77777777" w:rsidR="003F5D06" w:rsidRDefault="003F5D06" w:rsidP="003F5D06">
      <w:pPr>
        <w:pStyle w:val="ListParagraph"/>
        <w:spacing w:line="480" w:lineRule="auto"/>
        <w:jc w:val="both"/>
        <w:rPr>
          <w:rFonts w:ascii="Times" w:hAnsi="Times"/>
        </w:rPr>
      </w:pPr>
      <w:r>
        <w:rPr>
          <w:rFonts w:ascii="Times" w:hAnsi="Times"/>
        </w:rPr>
        <w:tab/>
        <w:t>Housing Units Per Capita = 0.45 housing units per person.</w:t>
      </w:r>
    </w:p>
    <w:p w14:paraId="4ED87E71" w14:textId="77777777" w:rsidR="003F5D06" w:rsidRDefault="003F5D06" w:rsidP="003F5D06">
      <w:pPr>
        <w:pStyle w:val="ListParagraph"/>
        <w:spacing w:line="480" w:lineRule="auto"/>
        <w:jc w:val="both"/>
        <w:rPr>
          <w:rFonts w:ascii="Times" w:hAnsi="Times"/>
        </w:rPr>
      </w:pPr>
      <w:r>
        <w:rPr>
          <w:rFonts w:ascii="Times" w:hAnsi="Times"/>
        </w:rPr>
        <w:t>Minneapolis (Figure 7)</w:t>
      </w:r>
    </w:p>
    <w:p w14:paraId="62778153" w14:textId="77777777" w:rsidR="003F5D06" w:rsidRDefault="003F5D06" w:rsidP="003F5D06">
      <w:pPr>
        <w:pStyle w:val="ListParagraph"/>
        <w:spacing w:line="480" w:lineRule="auto"/>
        <w:jc w:val="both"/>
        <w:rPr>
          <w:rFonts w:ascii="Times" w:hAnsi="Times"/>
        </w:rPr>
      </w:pPr>
      <w:r>
        <w:rPr>
          <w:rFonts w:ascii="Times" w:hAnsi="Times"/>
        </w:rPr>
        <w:tab/>
        <w:t>Population: 429,954</w:t>
      </w:r>
    </w:p>
    <w:p w14:paraId="1DA949E9" w14:textId="77777777" w:rsidR="003F5D06" w:rsidRDefault="003F5D06" w:rsidP="003F5D06">
      <w:pPr>
        <w:pStyle w:val="ListParagraph"/>
        <w:spacing w:line="480" w:lineRule="auto"/>
        <w:jc w:val="both"/>
        <w:rPr>
          <w:rFonts w:ascii="Times" w:hAnsi="Times"/>
        </w:rPr>
      </w:pPr>
      <w:r>
        <w:rPr>
          <w:rFonts w:ascii="Times" w:hAnsi="Times"/>
        </w:rPr>
        <w:tab/>
        <w:t>Housing Units: 199,143</w:t>
      </w:r>
    </w:p>
    <w:p w14:paraId="028533AF" w14:textId="77777777" w:rsidR="003F5D06" w:rsidRDefault="003F5D06" w:rsidP="003F5D06">
      <w:pPr>
        <w:pStyle w:val="ListParagraph"/>
        <w:spacing w:line="480" w:lineRule="auto"/>
        <w:jc w:val="both"/>
        <w:rPr>
          <w:rFonts w:ascii="Times" w:hAnsi="Times"/>
        </w:rPr>
      </w:pPr>
      <w:r>
        <w:rPr>
          <w:rFonts w:ascii="Times" w:hAnsi="Times"/>
        </w:rPr>
        <w:tab/>
        <w:t>Housing Units per Capita = 0.46 housing units per person</w:t>
      </w:r>
    </w:p>
    <w:p w14:paraId="1D356D0E" w14:textId="5AE602C5" w:rsidR="003F5D06" w:rsidRPr="003F5D06" w:rsidRDefault="003F5D06" w:rsidP="003F5D06">
      <w:pPr>
        <w:spacing w:line="480" w:lineRule="auto"/>
        <w:jc w:val="both"/>
        <w:rPr>
          <w:rFonts w:ascii="Times" w:hAnsi="Times"/>
        </w:rPr>
      </w:pPr>
      <w:r w:rsidRPr="003F5D06">
        <w:rPr>
          <w:rFonts w:ascii="Times" w:hAnsi="Times"/>
        </w:rPr>
        <w:t>Milwaukee County has slightly fewer housing units per capita than Minneapolis. This indicate</w:t>
      </w:r>
      <w:r>
        <w:rPr>
          <w:rFonts w:ascii="Times" w:hAnsi="Times"/>
        </w:rPr>
        <w:t>s that Milwaukee County has</w:t>
      </w:r>
      <w:r w:rsidRPr="003F5D06">
        <w:rPr>
          <w:rFonts w:ascii="Times" w:hAnsi="Times"/>
        </w:rPr>
        <w:t xml:space="preserve"> a slightly lower housing density per person </w:t>
      </w:r>
      <w:r>
        <w:rPr>
          <w:rFonts w:ascii="Times" w:hAnsi="Times"/>
        </w:rPr>
        <w:t>than</w:t>
      </w:r>
      <w:r w:rsidRPr="003F5D06">
        <w:rPr>
          <w:rFonts w:ascii="Times" w:hAnsi="Times"/>
        </w:rPr>
        <w:t xml:space="preserve"> Minneapolis.</w:t>
      </w:r>
      <w:r>
        <w:rPr>
          <w:rFonts w:ascii="Times" w:hAnsi="Times"/>
        </w:rPr>
        <w:t xml:space="preserve"> Moreover, </w:t>
      </w:r>
      <w:r w:rsidRPr="003F5D06">
        <w:rPr>
          <w:rFonts w:ascii="Times" w:hAnsi="Times"/>
        </w:rPr>
        <w:t>Milwaukee County has 424,191 housing units compared to Minneapolis’ 199,143 housing units, aligning with the population difference.</w:t>
      </w:r>
    </w:p>
    <w:p w14:paraId="25A57706" w14:textId="734DFDE8" w:rsidR="003F5D06" w:rsidRPr="004C060E" w:rsidRDefault="003F5D06" w:rsidP="003F5D06">
      <w:pPr>
        <w:spacing w:line="480" w:lineRule="auto"/>
        <w:jc w:val="both"/>
        <w:rPr>
          <w:rFonts w:ascii="Times" w:hAnsi="Times"/>
        </w:rPr>
      </w:pPr>
      <w:r>
        <w:rPr>
          <w:rFonts w:ascii="Times" w:hAnsi="Times"/>
        </w:rPr>
        <w:t>The population and household numbers of Milwaukee County and Minneapolis align proportionally, Milwaukee has twice the population and slightly fewer households per capita. This suggests that the housing stock should be proportionally larger in Milwaukee, though the suburban and urban distribution might play a role in the types of housing demand.</w:t>
      </w:r>
    </w:p>
    <w:p w14:paraId="57D3D8DA" w14:textId="77777777" w:rsidR="003F5D06" w:rsidRPr="00BC322F" w:rsidRDefault="003F5D06" w:rsidP="003F5D06">
      <w:pPr>
        <w:pStyle w:val="ListParagraph"/>
        <w:spacing w:line="480" w:lineRule="auto"/>
        <w:jc w:val="both"/>
        <w:rPr>
          <w:rFonts w:ascii="Times" w:hAnsi="Times"/>
          <w:b/>
          <w:bCs/>
        </w:rPr>
      </w:pPr>
    </w:p>
    <w:p w14:paraId="7532FB75" w14:textId="77777777" w:rsidR="003F5D06" w:rsidRDefault="003F5D06" w:rsidP="003F5D06">
      <w:pPr>
        <w:pStyle w:val="ListParagraph"/>
        <w:spacing w:line="360" w:lineRule="auto"/>
        <w:jc w:val="both"/>
        <w:rPr>
          <w:rFonts w:ascii="Times" w:hAnsi="Times"/>
        </w:rPr>
      </w:pPr>
      <w:r>
        <w:rPr>
          <w:rFonts w:ascii="Times" w:hAnsi="Times"/>
          <w:noProof/>
        </w:rPr>
        <w:lastRenderedPageBreak/>
        <w:drawing>
          <wp:inline distT="0" distB="0" distL="0" distR="0" wp14:anchorId="3413D586" wp14:editId="77F340C1">
            <wp:extent cx="5486400" cy="3647440"/>
            <wp:effectExtent l="0" t="0" r="0" b="0"/>
            <wp:docPr id="166288025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80253" name="Picture 9" descr="A screenshot of a computer&#10;&#10;Description automatically generated"/>
                    <pic:cNvPicPr/>
                  </pic:nvPicPr>
                  <pic:blipFill>
                    <a:blip r:embed="rId12"/>
                    <a:stretch>
                      <a:fillRect/>
                    </a:stretch>
                  </pic:blipFill>
                  <pic:spPr>
                    <a:xfrm>
                      <a:off x="0" y="0"/>
                      <a:ext cx="5486400" cy="3647440"/>
                    </a:xfrm>
                    <a:prstGeom prst="rect">
                      <a:avLst/>
                    </a:prstGeom>
                  </pic:spPr>
                </pic:pic>
              </a:graphicData>
            </a:graphic>
          </wp:inline>
        </w:drawing>
      </w:r>
    </w:p>
    <w:p w14:paraId="3FE5B6A8" w14:textId="77777777" w:rsidR="003F5D06" w:rsidRDefault="003F5D06" w:rsidP="003F5D06">
      <w:pPr>
        <w:pStyle w:val="ListParagraph"/>
        <w:spacing w:line="360" w:lineRule="auto"/>
        <w:jc w:val="center"/>
        <w:rPr>
          <w:rFonts w:ascii="Times" w:hAnsi="Times"/>
        </w:rPr>
      </w:pPr>
      <w:r>
        <w:rPr>
          <w:rFonts w:ascii="Times" w:hAnsi="Times"/>
        </w:rPr>
        <w:t>Figure 6- Housing Units of Milwaukee</w:t>
      </w:r>
    </w:p>
    <w:p w14:paraId="6A9D2E4F" w14:textId="77777777" w:rsidR="003F5D06" w:rsidRDefault="003F5D06" w:rsidP="003F5D06">
      <w:pPr>
        <w:pStyle w:val="ListParagraph"/>
        <w:spacing w:line="360" w:lineRule="auto"/>
        <w:jc w:val="both"/>
        <w:rPr>
          <w:rFonts w:ascii="Times" w:hAnsi="Times"/>
        </w:rPr>
      </w:pPr>
      <w:r>
        <w:rPr>
          <w:rFonts w:ascii="Times" w:hAnsi="Times"/>
          <w:noProof/>
          <w:sz w:val="16"/>
          <w:szCs w:val="16"/>
        </w:rPr>
        <w:drawing>
          <wp:inline distT="0" distB="0" distL="0" distR="0" wp14:anchorId="4A082C77" wp14:editId="369EB0EA">
            <wp:extent cx="5486400" cy="3299460"/>
            <wp:effectExtent l="0" t="0" r="0" b="2540"/>
            <wp:docPr id="21577659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52517" name="Picture 21" descr="A screenshot of a computer&#10;&#10;Description automatically generated"/>
                    <pic:cNvPicPr/>
                  </pic:nvPicPr>
                  <pic:blipFill>
                    <a:blip r:embed="rId13"/>
                    <a:stretch>
                      <a:fillRect/>
                    </a:stretch>
                  </pic:blipFill>
                  <pic:spPr>
                    <a:xfrm>
                      <a:off x="0" y="0"/>
                      <a:ext cx="5486400" cy="3299460"/>
                    </a:xfrm>
                    <a:prstGeom prst="rect">
                      <a:avLst/>
                    </a:prstGeom>
                  </pic:spPr>
                </pic:pic>
              </a:graphicData>
            </a:graphic>
          </wp:inline>
        </w:drawing>
      </w:r>
    </w:p>
    <w:p w14:paraId="2B068064" w14:textId="77777777" w:rsidR="003F5D06" w:rsidRDefault="003F5D06" w:rsidP="003F5D06">
      <w:pPr>
        <w:pStyle w:val="ListParagraph"/>
        <w:spacing w:line="360" w:lineRule="auto"/>
        <w:jc w:val="center"/>
        <w:rPr>
          <w:rFonts w:ascii="Times" w:hAnsi="Times"/>
        </w:rPr>
      </w:pPr>
      <w:r>
        <w:rPr>
          <w:rFonts w:ascii="Times" w:hAnsi="Times"/>
        </w:rPr>
        <w:t>Figure 7-Housing Units of Minneapolis.</w:t>
      </w:r>
    </w:p>
    <w:p w14:paraId="33784130" w14:textId="77777777" w:rsidR="003F5D06" w:rsidRDefault="003F5D06" w:rsidP="003F5D06">
      <w:pPr>
        <w:pStyle w:val="ListParagraph"/>
        <w:spacing w:line="360" w:lineRule="auto"/>
        <w:jc w:val="both"/>
        <w:rPr>
          <w:rFonts w:ascii="Times" w:hAnsi="Times"/>
        </w:rPr>
      </w:pPr>
    </w:p>
    <w:p w14:paraId="2769A582" w14:textId="77777777" w:rsidR="003F5D06" w:rsidRPr="00D92149" w:rsidRDefault="003F5D06" w:rsidP="003F5D06">
      <w:pPr>
        <w:spacing w:line="360" w:lineRule="auto"/>
        <w:jc w:val="both"/>
        <w:rPr>
          <w:rFonts w:ascii="Times" w:hAnsi="Times"/>
        </w:rPr>
      </w:pPr>
    </w:p>
    <w:p w14:paraId="1AFF2241" w14:textId="566CCE33" w:rsidR="003F5D06" w:rsidRPr="00D92149" w:rsidRDefault="007A668C" w:rsidP="003F5D06">
      <w:pPr>
        <w:spacing w:line="480" w:lineRule="auto"/>
        <w:jc w:val="both"/>
        <w:rPr>
          <w:rFonts w:ascii="Times" w:hAnsi="Times"/>
          <w:b/>
          <w:bCs/>
        </w:rPr>
      </w:pPr>
      <w:r>
        <w:rPr>
          <w:rFonts w:ascii="Times" w:hAnsi="Times"/>
          <w:b/>
          <w:bCs/>
        </w:rPr>
        <w:lastRenderedPageBreak/>
        <w:t xml:space="preserve">3. </w:t>
      </w:r>
      <w:r w:rsidR="003F5D06" w:rsidRPr="00D92149">
        <w:rPr>
          <w:rFonts w:ascii="Times" w:hAnsi="Times"/>
          <w:b/>
          <w:bCs/>
        </w:rPr>
        <w:t>Financial Metrics and Market Performance:</w:t>
      </w:r>
    </w:p>
    <w:p w14:paraId="48D1C9AA" w14:textId="77777777" w:rsidR="003F5D06" w:rsidRDefault="003F5D06" w:rsidP="003F5D06">
      <w:pPr>
        <w:pStyle w:val="ListParagraph"/>
        <w:spacing w:line="480" w:lineRule="auto"/>
        <w:jc w:val="both"/>
        <w:rPr>
          <w:rFonts w:ascii="Times" w:hAnsi="Times"/>
          <w:b/>
          <w:bCs/>
        </w:rPr>
      </w:pPr>
      <w:r>
        <w:rPr>
          <w:rFonts w:ascii="Times" w:hAnsi="Times"/>
          <w:b/>
          <w:bCs/>
        </w:rPr>
        <w:t>Housing Market Overview:</w:t>
      </w:r>
    </w:p>
    <w:p w14:paraId="3332657C" w14:textId="77777777" w:rsidR="003F5D06" w:rsidRDefault="003F5D06" w:rsidP="003F5D06">
      <w:pPr>
        <w:pStyle w:val="ListParagraph"/>
        <w:numPr>
          <w:ilvl w:val="0"/>
          <w:numId w:val="8"/>
        </w:numPr>
        <w:spacing w:line="480" w:lineRule="auto"/>
        <w:jc w:val="both"/>
        <w:rPr>
          <w:rFonts w:ascii="Times" w:hAnsi="Times"/>
        </w:rPr>
      </w:pPr>
      <w:r w:rsidRPr="00645D01">
        <w:rPr>
          <w:rFonts w:ascii="Times" w:hAnsi="Times"/>
        </w:rPr>
        <w:t xml:space="preserve">All Transactions House Price </w:t>
      </w:r>
      <w:r>
        <w:rPr>
          <w:rFonts w:ascii="Times" w:hAnsi="Times"/>
        </w:rPr>
        <w:t>I</w:t>
      </w:r>
      <w:r w:rsidRPr="00645D01">
        <w:rPr>
          <w:rFonts w:ascii="Times" w:hAnsi="Times"/>
        </w:rPr>
        <w:t>ndex</w:t>
      </w:r>
      <w:r>
        <w:rPr>
          <w:rFonts w:ascii="Times" w:hAnsi="Times"/>
        </w:rPr>
        <w:t>:</w:t>
      </w:r>
    </w:p>
    <w:p w14:paraId="2F6C2103" w14:textId="77777777" w:rsidR="003F5D06" w:rsidRDefault="003F5D06" w:rsidP="003F5D06">
      <w:pPr>
        <w:pStyle w:val="ListParagraph"/>
        <w:spacing w:line="480" w:lineRule="auto"/>
        <w:jc w:val="both"/>
        <w:rPr>
          <w:rFonts w:ascii="Times" w:hAnsi="Times"/>
        </w:rPr>
      </w:pPr>
      <w:r>
        <w:rPr>
          <w:rFonts w:ascii="Times" w:hAnsi="Times"/>
        </w:rPr>
        <w:t>The below graph (Figure 8,9) from the Fed St Louis (</w:t>
      </w:r>
      <w:hyperlink r:id="rId14" w:history="1">
        <w:r w:rsidRPr="006F6F16">
          <w:rPr>
            <w:rStyle w:val="Hyperlink"/>
            <w:rFonts w:ascii="Times" w:eastAsiaTheme="majorEastAsia" w:hAnsi="Times"/>
          </w:rPr>
          <w:t>https://www.stlouisfed.org/</w:t>
        </w:r>
      </w:hyperlink>
      <w:r>
        <w:rPr>
          <w:rFonts w:ascii="Times" w:hAnsi="Times"/>
        </w:rPr>
        <w:t xml:space="preserve">) from 2014 to 2024. The </w:t>
      </w:r>
      <w:proofErr w:type="gramStart"/>
      <w:r>
        <w:rPr>
          <w:rFonts w:ascii="Times" w:hAnsi="Times"/>
        </w:rPr>
        <w:t>All Transactions</w:t>
      </w:r>
      <w:proofErr w:type="gramEnd"/>
      <w:r>
        <w:rPr>
          <w:rFonts w:ascii="Times" w:hAnsi="Times"/>
        </w:rPr>
        <w:t xml:space="preserve"> House Price Index for Milwaukee County and Minneapolis below indicates that house prices in Minneapolis are significantly higher than those in Milwaukee, with Milwaukee exceeding 360 compared to Milwaukee’s approximately 220. This disparity suggests that Minneapolis has a more competitive housing market, which could influence rental prices as potential buyers towards renting due to affordability issues.</w:t>
      </w:r>
    </w:p>
    <w:p w14:paraId="623B3732" w14:textId="77777777" w:rsidR="003F5D06" w:rsidRDefault="003F5D06" w:rsidP="003F5D06">
      <w:pPr>
        <w:pStyle w:val="ListParagraph"/>
        <w:spacing w:line="360" w:lineRule="auto"/>
        <w:jc w:val="both"/>
        <w:rPr>
          <w:rFonts w:ascii="Times" w:hAnsi="Times"/>
        </w:rPr>
      </w:pPr>
      <w:r>
        <w:rPr>
          <w:rFonts w:ascii="Times" w:hAnsi="Times"/>
          <w:noProof/>
        </w:rPr>
        <w:drawing>
          <wp:inline distT="0" distB="0" distL="0" distR="0" wp14:anchorId="00F5D921" wp14:editId="72976B7A">
            <wp:extent cx="5486400" cy="1870075"/>
            <wp:effectExtent l="0" t="0" r="0" b="0"/>
            <wp:docPr id="576531500" name="Picture 27" descr="A graph showing the growth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88910" name="Picture 27" descr="A graph showing the growth of a company&#10;&#10;Description automatically generated"/>
                    <pic:cNvPicPr/>
                  </pic:nvPicPr>
                  <pic:blipFill>
                    <a:blip r:embed="rId15"/>
                    <a:stretch>
                      <a:fillRect/>
                    </a:stretch>
                  </pic:blipFill>
                  <pic:spPr>
                    <a:xfrm>
                      <a:off x="0" y="0"/>
                      <a:ext cx="5486400" cy="1870075"/>
                    </a:xfrm>
                    <a:prstGeom prst="rect">
                      <a:avLst/>
                    </a:prstGeom>
                  </pic:spPr>
                </pic:pic>
              </a:graphicData>
            </a:graphic>
          </wp:inline>
        </w:drawing>
      </w:r>
    </w:p>
    <w:p w14:paraId="14C16178" w14:textId="77777777" w:rsidR="003F5D06" w:rsidRDefault="003F5D06" w:rsidP="003F5D06">
      <w:pPr>
        <w:pStyle w:val="ListParagraph"/>
        <w:spacing w:line="360" w:lineRule="auto"/>
        <w:jc w:val="center"/>
        <w:rPr>
          <w:rFonts w:ascii="Times" w:hAnsi="Times"/>
        </w:rPr>
      </w:pPr>
      <w:r>
        <w:rPr>
          <w:rFonts w:ascii="Times" w:hAnsi="Times"/>
        </w:rPr>
        <w:t xml:space="preserve">Figure 8 - </w:t>
      </w:r>
      <w:r w:rsidRPr="00645D01">
        <w:rPr>
          <w:rFonts w:ascii="Times" w:hAnsi="Times"/>
        </w:rPr>
        <w:t xml:space="preserve">All Transactions House Price </w:t>
      </w:r>
      <w:r>
        <w:rPr>
          <w:rFonts w:ascii="Times" w:hAnsi="Times"/>
        </w:rPr>
        <w:t>I</w:t>
      </w:r>
      <w:r w:rsidRPr="00645D01">
        <w:rPr>
          <w:rFonts w:ascii="Times" w:hAnsi="Times"/>
        </w:rPr>
        <w:t>ndex</w:t>
      </w:r>
      <w:r>
        <w:rPr>
          <w:rFonts w:ascii="Times" w:hAnsi="Times"/>
        </w:rPr>
        <w:t xml:space="preserve"> of Milwaukee</w:t>
      </w:r>
    </w:p>
    <w:p w14:paraId="59C4E613" w14:textId="77777777" w:rsidR="003F5D06" w:rsidRDefault="003F5D06" w:rsidP="003F5D06">
      <w:pPr>
        <w:pStyle w:val="ListParagraph"/>
        <w:spacing w:line="360" w:lineRule="auto"/>
        <w:jc w:val="both"/>
        <w:rPr>
          <w:rFonts w:ascii="Times" w:hAnsi="Times"/>
        </w:rPr>
      </w:pPr>
      <w:r>
        <w:rPr>
          <w:rFonts w:ascii="Times" w:hAnsi="Times"/>
          <w:noProof/>
        </w:rPr>
        <w:drawing>
          <wp:inline distT="0" distB="0" distL="0" distR="0" wp14:anchorId="360312C5" wp14:editId="2EF3E0B7">
            <wp:extent cx="5486400" cy="1870075"/>
            <wp:effectExtent l="0" t="0" r="0" b="0"/>
            <wp:docPr id="153704032" name="Picture 28" descr="A graph showing the growth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88131" name="Picture 28" descr="A graph showing the growth of a company&#10;&#10;Description automatically generated"/>
                    <pic:cNvPicPr/>
                  </pic:nvPicPr>
                  <pic:blipFill>
                    <a:blip r:embed="rId16"/>
                    <a:stretch>
                      <a:fillRect/>
                    </a:stretch>
                  </pic:blipFill>
                  <pic:spPr>
                    <a:xfrm>
                      <a:off x="0" y="0"/>
                      <a:ext cx="5486400" cy="1870075"/>
                    </a:xfrm>
                    <a:prstGeom prst="rect">
                      <a:avLst/>
                    </a:prstGeom>
                  </pic:spPr>
                </pic:pic>
              </a:graphicData>
            </a:graphic>
          </wp:inline>
        </w:drawing>
      </w:r>
    </w:p>
    <w:p w14:paraId="71BB4A8E" w14:textId="77777777" w:rsidR="003F5D06" w:rsidRDefault="003F5D06" w:rsidP="003F5D06">
      <w:pPr>
        <w:pStyle w:val="ListParagraph"/>
        <w:spacing w:line="360" w:lineRule="auto"/>
        <w:jc w:val="center"/>
        <w:rPr>
          <w:rFonts w:ascii="Times" w:hAnsi="Times"/>
        </w:rPr>
      </w:pPr>
      <w:r>
        <w:rPr>
          <w:rFonts w:ascii="Times" w:hAnsi="Times"/>
        </w:rPr>
        <w:t xml:space="preserve">Figure 9 </w:t>
      </w:r>
      <w:proofErr w:type="gramStart"/>
      <w:r>
        <w:rPr>
          <w:rFonts w:ascii="Times" w:hAnsi="Times"/>
        </w:rPr>
        <w:t>-  All</w:t>
      </w:r>
      <w:proofErr w:type="gramEnd"/>
      <w:r>
        <w:rPr>
          <w:rFonts w:ascii="Times" w:hAnsi="Times"/>
        </w:rPr>
        <w:t xml:space="preserve"> Transactions House Price Index of Minneapolis</w:t>
      </w:r>
    </w:p>
    <w:p w14:paraId="392819C1" w14:textId="77777777" w:rsidR="003F5D06" w:rsidRPr="00D92149" w:rsidRDefault="003F5D06" w:rsidP="003F5D06">
      <w:pPr>
        <w:pStyle w:val="ListParagraph"/>
        <w:spacing w:line="360" w:lineRule="auto"/>
        <w:jc w:val="both"/>
        <w:rPr>
          <w:rFonts w:ascii="Times" w:hAnsi="Times"/>
          <w:b/>
          <w:bCs/>
        </w:rPr>
      </w:pPr>
      <w:r w:rsidRPr="00D92149">
        <w:rPr>
          <w:rFonts w:ascii="Times" w:hAnsi="Times"/>
          <w:b/>
          <w:bCs/>
        </w:rPr>
        <w:t xml:space="preserve">Rent Growth and Rent Trends: </w:t>
      </w:r>
    </w:p>
    <w:p w14:paraId="5270D7CE" w14:textId="77777777" w:rsidR="003F5D06" w:rsidRDefault="003F5D06" w:rsidP="003F5D06">
      <w:pPr>
        <w:pStyle w:val="ListParagraph"/>
        <w:numPr>
          <w:ilvl w:val="0"/>
          <w:numId w:val="8"/>
        </w:numPr>
        <w:spacing w:line="480" w:lineRule="auto"/>
        <w:jc w:val="both"/>
        <w:rPr>
          <w:rFonts w:ascii="Times" w:hAnsi="Times"/>
        </w:rPr>
      </w:pPr>
      <w:r>
        <w:rPr>
          <w:rFonts w:ascii="Times" w:hAnsi="Times"/>
        </w:rPr>
        <w:lastRenderedPageBreak/>
        <w:t>New Private Housing Units Authorized by Building Permits</w:t>
      </w:r>
    </w:p>
    <w:p w14:paraId="6A953B0B" w14:textId="4D92C1B8" w:rsidR="003F5D06" w:rsidRPr="00D92149" w:rsidRDefault="003F5D06" w:rsidP="003F5D06">
      <w:pPr>
        <w:pStyle w:val="ListParagraph"/>
        <w:spacing w:line="480" w:lineRule="auto"/>
        <w:jc w:val="both"/>
        <w:rPr>
          <w:rFonts w:ascii="Times" w:hAnsi="Times"/>
        </w:rPr>
      </w:pPr>
      <w:r>
        <w:rPr>
          <w:rFonts w:ascii="Times" w:hAnsi="Times"/>
        </w:rPr>
        <w:t xml:space="preserve">In terms of new construction, Minneapolis has authorized 1,269 housing units (shown in </w:t>
      </w:r>
      <w:r>
        <w:rPr>
          <w:rFonts w:ascii="Times" w:hAnsi="Times"/>
        </w:rPr>
        <w:t>F</w:t>
      </w:r>
      <w:r>
        <w:rPr>
          <w:rFonts w:ascii="Times" w:hAnsi="Times"/>
        </w:rPr>
        <w:t xml:space="preserve">igure 11) as of October 2024, while Milwaukee has authorized 1,221 units (shown in </w:t>
      </w:r>
      <w:r>
        <w:rPr>
          <w:rFonts w:ascii="Times" w:hAnsi="Times"/>
        </w:rPr>
        <w:t>F</w:t>
      </w:r>
      <w:r>
        <w:rPr>
          <w:rFonts w:ascii="Times" w:hAnsi="Times"/>
        </w:rPr>
        <w:t xml:space="preserve">igure 10) during the same period. This slight edge in new housing permits for Minneapolis reflects ongoing investment in the multifamily sector and a proactive approach to meeting housing demand. </w:t>
      </w:r>
    </w:p>
    <w:p w14:paraId="7A06F9D9" w14:textId="77777777" w:rsidR="003F5D06" w:rsidRDefault="003F5D06" w:rsidP="003F5D06">
      <w:pPr>
        <w:pStyle w:val="ListParagraph"/>
        <w:spacing w:line="480" w:lineRule="auto"/>
        <w:jc w:val="both"/>
        <w:rPr>
          <w:rFonts w:ascii="Times" w:hAnsi="Times"/>
        </w:rPr>
      </w:pPr>
    </w:p>
    <w:p w14:paraId="78ABE666" w14:textId="77777777" w:rsidR="003F5D06" w:rsidRDefault="003F5D06" w:rsidP="003F5D06">
      <w:pPr>
        <w:pStyle w:val="ListParagraph"/>
        <w:spacing w:line="360" w:lineRule="auto"/>
        <w:jc w:val="both"/>
        <w:rPr>
          <w:rFonts w:ascii="Times" w:hAnsi="Times"/>
        </w:rPr>
      </w:pPr>
      <w:r>
        <w:rPr>
          <w:rFonts w:ascii="Times" w:hAnsi="Times"/>
          <w:noProof/>
        </w:rPr>
        <w:drawing>
          <wp:inline distT="0" distB="0" distL="0" distR="0" wp14:anchorId="5D009B74" wp14:editId="7B589C36">
            <wp:extent cx="5486400" cy="647065"/>
            <wp:effectExtent l="0" t="0" r="0" b="635"/>
            <wp:docPr id="1566981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74637" name="Picture 776774637"/>
                    <pic:cNvPicPr/>
                  </pic:nvPicPr>
                  <pic:blipFill>
                    <a:blip r:embed="rId17"/>
                    <a:stretch>
                      <a:fillRect/>
                    </a:stretch>
                  </pic:blipFill>
                  <pic:spPr>
                    <a:xfrm>
                      <a:off x="0" y="0"/>
                      <a:ext cx="5486400" cy="647065"/>
                    </a:xfrm>
                    <a:prstGeom prst="rect">
                      <a:avLst/>
                    </a:prstGeom>
                  </pic:spPr>
                </pic:pic>
              </a:graphicData>
            </a:graphic>
          </wp:inline>
        </w:drawing>
      </w:r>
    </w:p>
    <w:p w14:paraId="75B2DEE6" w14:textId="77777777" w:rsidR="003F5D06" w:rsidRDefault="003F5D06" w:rsidP="003F5D06">
      <w:pPr>
        <w:pStyle w:val="ListParagraph"/>
        <w:spacing w:line="360" w:lineRule="auto"/>
        <w:jc w:val="both"/>
        <w:rPr>
          <w:rFonts w:ascii="Times" w:hAnsi="Times"/>
        </w:rPr>
      </w:pPr>
    </w:p>
    <w:p w14:paraId="6A1E0388" w14:textId="77777777" w:rsidR="003F5D06" w:rsidRDefault="003F5D06" w:rsidP="003F5D06">
      <w:pPr>
        <w:pStyle w:val="ListParagraph"/>
        <w:spacing w:line="360" w:lineRule="auto"/>
        <w:jc w:val="both"/>
        <w:rPr>
          <w:rFonts w:ascii="Times" w:hAnsi="Times"/>
        </w:rPr>
      </w:pPr>
      <w:r>
        <w:rPr>
          <w:rFonts w:ascii="Times" w:hAnsi="Times"/>
          <w:noProof/>
        </w:rPr>
        <w:drawing>
          <wp:inline distT="0" distB="0" distL="0" distR="0" wp14:anchorId="116DB31D" wp14:editId="387D1DCD">
            <wp:extent cx="5486400" cy="1870075"/>
            <wp:effectExtent l="0" t="0" r="0" b="0"/>
            <wp:docPr id="596897632" name="Picture 3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97632" name="Picture 31" descr="A graph showing a line&#10;&#10;Description automatically generated"/>
                    <pic:cNvPicPr/>
                  </pic:nvPicPr>
                  <pic:blipFill>
                    <a:blip r:embed="rId18"/>
                    <a:stretch>
                      <a:fillRect/>
                    </a:stretch>
                  </pic:blipFill>
                  <pic:spPr>
                    <a:xfrm>
                      <a:off x="0" y="0"/>
                      <a:ext cx="5486400" cy="1870075"/>
                    </a:xfrm>
                    <a:prstGeom prst="rect">
                      <a:avLst/>
                    </a:prstGeom>
                  </pic:spPr>
                </pic:pic>
              </a:graphicData>
            </a:graphic>
          </wp:inline>
        </w:drawing>
      </w:r>
    </w:p>
    <w:p w14:paraId="1C7A5A7D" w14:textId="77777777" w:rsidR="003F5D06" w:rsidRDefault="003F5D06" w:rsidP="003F5D06">
      <w:pPr>
        <w:pStyle w:val="ListParagraph"/>
        <w:spacing w:line="360" w:lineRule="auto"/>
        <w:jc w:val="center"/>
        <w:rPr>
          <w:rFonts w:ascii="Times" w:hAnsi="Times"/>
        </w:rPr>
      </w:pPr>
      <w:r>
        <w:rPr>
          <w:rFonts w:ascii="Times" w:hAnsi="Times"/>
        </w:rPr>
        <w:t>Figure 10 – New Private Housing Structure Authorized by Building Permits for Milwaukee</w:t>
      </w:r>
    </w:p>
    <w:p w14:paraId="1CEE3E56" w14:textId="77777777" w:rsidR="003F5D06" w:rsidRDefault="003F5D06" w:rsidP="003F5D06">
      <w:pPr>
        <w:pStyle w:val="ListParagraph"/>
        <w:spacing w:line="360" w:lineRule="auto"/>
        <w:jc w:val="both"/>
        <w:rPr>
          <w:rFonts w:ascii="Times" w:hAnsi="Times"/>
        </w:rPr>
      </w:pPr>
    </w:p>
    <w:p w14:paraId="7ADA234F" w14:textId="77777777" w:rsidR="003F5D06" w:rsidRDefault="003F5D06" w:rsidP="003F5D06">
      <w:pPr>
        <w:pStyle w:val="ListParagraph"/>
        <w:spacing w:line="360" w:lineRule="auto"/>
        <w:jc w:val="both"/>
        <w:rPr>
          <w:rFonts w:ascii="Times" w:hAnsi="Times"/>
        </w:rPr>
      </w:pPr>
    </w:p>
    <w:p w14:paraId="1D898523" w14:textId="77777777" w:rsidR="003F5D06" w:rsidRDefault="003F5D06" w:rsidP="003F5D06">
      <w:pPr>
        <w:pStyle w:val="ListParagraph"/>
        <w:spacing w:line="360" w:lineRule="auto"/>
        <w:jc w:val="both"/>
        <w:rPr>
          <w:rFonts w:ascii="Times" w:hAnsi="Times"/>
        </w:rPr>
      </w:pPr>
      <w:r>
        <w:rPr>
          <w:rFonts w:ascii="Times" w:hAnsi="Times"/>
          <w:noProof/>
        </w:rPr>
        <w:drawing>
          <wp:inline distT="0" distB="0" distL="0" distR="0" wp14:anchorId="32ED1924" wp14:editId="4CEA417C">
            <wp:extent cx="5486400" cy="732790"/>
            <wp:effectExtent l="0" t="0" r="0" b="3810"/>
            <wp:docPr id="1125649815" name="Picture 34" descr="A close-up of a building perm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64238" name="Picture 34" descr="A close-up of a building permit&#10;&#10;Description automatically generated"/>
                    <pic:cNvPicPr/>
                  </pic:nvPicPr>
                  <pic:blipFill>
                    <a:blip r:embed="rId19"/>
                    <a:stretch>
                      <a:fillRect/>
                    </a:stretch>
                  </pic:blipFill>
                  <pic:spPr>
                    <a:xfrm>
                      <a:off x="0" y="0"/>
                      <a:ext cx="5486400" cy="732790"/>
                    </a:xfrm>
                    <a:prstGeom prst="rect">
                      <a:avLst/>
                    </a:prstGeom>
                  </pic:spPr>
                </pic:pic>
              </a:graphicData>
            </a:graphic>
          </wp:inline>
        </w:drawing>
      </w:r>
    </w:p>
    <w:p w14:paraId="3FC557B9" w14:textId="77777777" w:rsidR="003F5D06" w:rsidRDefault="003F5D06" w:rsidP="003F5D06">
      <w:pPr>
        <w:pStyle w:val="ListParagraph"/>
        <w:spacing w:line="360" w:lineRule="auto"/>
        <w:jc w:val="both"/>
        <w:rPr>
          <w:rFonts w:ascii="Times" w:hAnsi="Times"/>
        </w:rPr>
      </w:pPr>
    </w:p>
    <w:p w14:paraId="10C31D0A" w14:textId="77777777" w:rsidR="003F5D06" w:rsidRDefault="003F5D06" w:rsidP="003F5D06">
      <w:pPr>
        <w:pStyle w:val="ListParagraph"/>
        <w:spacing w:line="360" w:lineRule="auto"/>
        <w:jc w:val="both"/>
        <w:rPr>
          <w:rFonts w:ascii="Times" w:hAnsi="Times"/>
        </w:rPr>
      </w:pPr>
    </w:p>
    <w:p w14:paraId="283DD164" w14:textId="77777777" w:rsidR="003F5D06" w:rsidRDefault="003F5D06" w:rsidP="003F5D06">
      <w:pPr>
        <w:pStyle w:val="ListParagraph"/>
        <w:spacing w:line="360" w:lineRule="auto"/>
        <w:jc w:val="both"/>
        <w:rPr>
          <w:rFonts w:ascii="Times" w:hAnsi="Times"/>
        </w:rPr>
      </w:pPr>
    </w:p>
    <w:p w14:paraId="6696AB1D" w14:textId="77777777" w:rsidR="003F5D06" w:rsidRDefault="003F5D06" w:rsidP="003F5D06">
      <w:pPr>
        <w:pStyle w:val="ListParagraph"/>
        <w:spacing w:line="360" w:lineRule="auto"/>
        <w:jc w:val="both"/>
        <w:rPr>
          <w:rFonts w:ascii="Times" w:hAnsi="Times"/>
        </w:rPr>
      </w:pPr>
      <w:r>
        <w:rPr>
          <w:rFonts w:ascii="Times" w:hAnsi="Times"/>
          <w:noProof/>
        </w:rPr>
        <w:lastRenderedPageBreak/>
        <w:drawing>
          <wp:inline distT="0" distB="0" distL="0" distR="0" wp14:anchorId="51DF0FDB" wp14:editId="75702E48">
            <wp:extent cx="5486400" cy="1870075"/>
            <wp:effectExtent l="0" t="0" r="0" b="0"/>
            <wp:docPr id="713807967" name="Picture 30" descr="A graph showing a line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42512" name="Picture 30" descr="A graph showing a line of blue and white lines&#10;&#10;Description automatically generated with medium confidence"/>
                    <pic:cNvPicPr/>
                  </pic:nvPicPr>
                  <pic:blipFill>
                    <a:blip r:embed="rId20"/>
                    <a:stretch>
                      <a:fillRect/>
                    </a:stretch>
                  </pic:blipFill>
                  <pic:spPr>
                    <a:xfrm>
                      <a:off x="0" y="0"/>
                      <a:ext cx="5486400" cy="1870075"/>
                    </a:xfrm>
                    <a:prstGeom prst="rect">
                      <a:avLst/>
                    </a:prstGeom>
                  </pic:spPr>
                </pic:pic>
              </a:graphicData>
            </a:graphic>
          </wp:inline>
        </w:drawing>
      </w:r>
    </w:p>
    <w:p w14:paraId="3D2F63CF" w14:textId="77777777" w:rsidR="003F5D06" w:rsidRPr="00D92149" w:rsidRDefault="003F5D06" w:rsidP="003F5D06">
      <w:pPr>
        <w:pStyle w:val="ListParagraph"/>
        <w:spacing w:line="360" w:lineRule="auto"/>
        <w:jc w:val="center"/>
        <w:rPr>
          <w:rFonts w:ascii="Times" w:hAnsi="Times"/>
        </w:rPr>
      </w:pPr>
      <w:r>
        <w:rPr>
          <w:rFonts w:ascii="Times" w:hAnsi="Times"/>
        </w:rPr>
        <w:t>Figure 11 – New Private Housing Structure Authorized by Building Permits for Minneapolis</w:t>
      </w:r>
    </w:p>
    <w:p w14:paraId="5E14C1BB" w14:textId="77777777" w:rsidR="003F5D06" w:rsidRPr="00A50417" w:rsidRDefault="003F5D06" w:rsidP="003F5D06">
      <w:pPr>
        <w:spacing w:line="360" w:lineRule="auto"/>
        <w:jc w:val="both"/>
        <w:rPr>
          <w:rFonts w:ascii="Times" w:hAnsi="Times"/>
          <w:sz w:val="16"/>
          <w:szCs w:val="16"/>
        </w:rPr>
      </w:pPr>
    </w:p>
    <w:p w14:paraId="5D59125A" w14:textId="77777777" w:rsidR="003F5D06" w:rsidRPr="003F5D06" w:rsidRDefault="003F5D06" w:rsidP="003F5D06">
      <w:pPr>
        <w:spacing w:line="480" w:lineRule="auto"/>
        <w:jc w:val="both"/>
        <w:rPr>
          <w:rFonts w:ascii="Times" w:hAnsi="Times"/>
        </w:rPr>
      </w:pPr>
      <w:r w:rsidRPr="003F5D06">
        <w:rPr>
          <w:rFonts w:ascii="Times" w:hAnsi="Times"/>
          <w:b/>
          <w:bCs/>
        </w:rPr>
        <w:t>Rent Growth:</w:t>
      </w:r>
      <w:r w:rsidRPr="003F5D06">
        <w:rPr>
          <w:rFonts w:ascii="Times" w:hAnsi="Times"/>
        </w:rPr>
        <w:t xml:space="preserve"> Minneapolis demonstrates stronger rent growth trends compared to Milwaukee, driven by higher income levels and employment rates. The steady increase in rent alongside rising demand suggests that investors can find more lucrative opportunities in Minneapolis.</w:t>
      </w:r>
    </w:p>
    <w:p w14:paraId="3D21E45B" w14:textId="77777777" w:rsidR="003F5D06" w:rsidRPr="003F5D06" w:rsidRDefault="003F5D06" w:rsidP="003F5D06">
      <w:pPr>
        <w:spacing w:line="480" w:lineRule="auto"/>
        <w:jc w:val="both"/>
        <w:rPr>
          <w:rFonts w:ascii="Times" w:hAnsi="Times"/>
          <w:b/>
          <w:bCs/>
        </w:rPr>
      </w:pPr>
      <w:r w:rsidRPr="003F5D06">
        <w:rPr>
          <w:rFonts w:ascii="Times" w:hAnsi="Times"/>
          <w:b/>
          <w:bCs/>
        </w:rPr>
        <w:t>Investment Opportunities:</w:t>
      </w:r>
      <w:r w:rsidRPr="003F5D06">
        <w:rPr>
          <w:rFonts w:ascii="Times" w:hAnsi="Times"/>
        </w:rPr>
        <w:t xml:space="preserve"> Given the higher house price index and stronger rent growth in Minneapolis, investors can be more confident to focus on this market for multifamily investments. The combination of higher rents and new housing supply positions Minneapolis favorably for sustained growth.</w:t>
      </w:r>
    </w:p>
    <w:p w14:paraId="584252D8" w14:textId="33667545" w:rsidR="003F5D06" w:rsidRPr="00914913" w:rsidRDefault="007A668C" w:rsidP="003F5D06">
      <w:pPr>
        <w:spacing w:line="480" w:lineRule="auto"/>
        <w:jc w:val="both"/>
        <w:rPr>
          <w:rFonts w:ascii="Times" w:hAnsi="Times"/>
          <w:b/>
          <w:bCs/>
        </w:rPr>
      </w:pPr>
      <w:r>
        <w:rPr>
          <w:rFonts w:ascii="Times" w:hAnsi="Times"/>
          <w:b/>
          <w:bCs/>
        </w:rPr>
        <w:t xml:space="preserve">4. </w:t>
      </w:r>
      <w:r w:rsidR="003F5D06" w:rsidRPr="00914913">
        <w:rPr>
          <w:rFonts w:ascii="Times" w:hAnsi="Times"/>
          <w:b/>
          <w:bCs/>
        </w:rPr>
        <w:t>Market Projections and Forecast:</w:t>
      </w:r>
    </w:p>
    <w:p w14:paraId="037115DE" w14:textId="77777777" w:rsidR="003F5D06" w:rsidRPr="00914913" w:rsidRDefault="003F5D06" w:rsidP="003F5D06">
      <w:pPr>
        <w:spacing w:line="480" w:lineRule="auto"/>
        <w:ind w:firstLine="720"/>
        <w:jc w:val="both"/>
        <w:rPr>
          <w:rFonts w:ascii="Times" w:hAnsi="Times"/>
          <w:b/>
          <w:bCs/>
        </w:rPr>
      </w:pPr>
      <w:r w:rsidRPr="00914913">
        <w:rPr>
          <w:rFonts w:ascii="Times" w:hAnsi="Times"/>
          <w:b/>
          <w:bCs/>
        </w:rPr>
        <w:t>Past period projections:</w:t>
      </w:r>
    </w:p>
    <w:p w14:paraId="2460A09E" w14:textId="1CAE2EF3" w:rsidR="003F5D06" w:rsidRPr="00914913" w:rsidRDefault="003F5D06" w:rsidP="003F5D06">
      <w:pPr>
        <w:spacing w:line="480" w:lineRule="auto"/>
        <w:jc w:val="both"/>
        <w:rPr>
          <w:rFonts w:ascii="Times" w:hAnsi="Times"/>
        </w:rPr>
      </w:pPr>
      <w:r w:rsidRPr="00914913">
        <w:rPr>
          <w:rFonts w:ascii="Times" w:hAnsi="Times"/>
        </w:rPr>
        <w:t xml:space="preserve">Applying Tableau for the historical data to show charts from 2014 to Q3, 2024, </w:t>
      </w:r>
      <w:r w:rsidR="007A668C">
        <w:rPr>
          <w:rFonts w:ascii="Times" w:hAnsi="Times"/>
        </w:rPr>
        <w:t xml:space="preserve">As shown in Table 1, </w:t>
      </w:r>
      <w:r w:rsidRPr="00914913">
        <w:rPr>
          <w:rFonts w:ascii="Times" w:hAnsi="Times"/>
        </w:rPr>
        <w:t>Milwaukee shows a slightly higher median growth rate (Median: 0.6%) in asking rents compared to Minneapolis (0.5%)</w:t>
      </w:r>
      <w:r w:rsidR="007A668C">
        <w:rPr>
          <w:rFonts w:ascii="Times" w:hAnsi="Times"/>
        </w:rPr>
        <w:t xml:space="preserve"> (shown in table 2)</w:t>
      </w:r>
      <w:r w:rsidRPr="00914913">
        <w:rPr>
          <w:rFonts w:ascii="Times" w:hAnsi="Times"/>
        </w:rPr>
        <w:t>, suggesting a more dynamic rental market in Milwaukee. (shown in graph figure 12 below)</w:t>
      </w:r>
    </w:p>
    <w:p w14:paraId="29FEA55E" w14:textId="77777777" w:rsidR="003F5D06" w:rsidRDefault="003F5D06" w:rsidP="003F5D06">
      <w:pPr>
        <w:pStyle w:val="ListParagraph"/>
        <w:spacing w:line="480" w:lineRule="auto"/>
        <w:jc w:val="both"/>
        <w:rPr>
          <w:rFonts w:ascii="Times" w:hAnsi="Times"/>
          <w:b/>
          <w:bCs/>
        </w:rPr>
      </w:pPr>
    </w:p>
    <w:p w14:paraId="291AC411" w14:textId="77777777" w:rsidR="003F5D06" w:rsidRDefault="003F5D06" w:rsidP="003F5D06">
      <w:pPr>
        <w:pStyle w:val="ListParagraph"/>
        <w:spacing w:line="480" w:lineRule="auto"/>
        <w:jc w:val="both"/>
        <w:rPr>
          <w:rFonts w:ascii="Times" w:hAnsi="Times"/>
          <w:b/>
          <w:bCs/>
        </w:rPr>
      </w:pPr>
    </w:p>
    <w:p w14:paraId="02E08D81" w14:textId="77777777" w:rsidR="003F5D06" w:rsidRDefault="003F5D06" w:rsidP="003F5D06">
      <w:pPr>
        <w:pStyle w:val="ListParagraph"/>
        <w:spacing w:line="360" w:lineRule="auto"/>
        <w:jc w:val="both"/>
        <w:rPr>
          <w:rFonts w:ascii="Times" w:hAnsi="Times"/>
          <w:b/>
          <w:bCs/>
        </w:rPr>
      </w:pPr>
      <w:r>
        <w:rPr>
          <w:rFonts w:ascii="Times" w:hAnsi="Times"/>
          <w:b/>
          <w:bCs/>
          <w:noProof/>
        </w:rPr>
        <w:lastRenderedPageBreak/>
        <w:drawing>
          <wp:inline distT="0" distB="0" distL="0" distR="0" wp14:anchorId="6BAC654F" wp14:editId="41E98179">
            <wp:extent cx="5486400" cy="3170555"/>
            <wp:effectExtent l="0" t="0" r="0" b="4445"/>
            <wp:docPr id="391952991" name="Picture 35"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52991" name="Picture 35" descr="A graph of a graph of a graph of a graph of a graph of a graph of a graph of a graph of a graph of a graph of a graph of a graph of a graph of&#10;&#10;Description automatically generated"/>
                    <pic:cNvPicPr/>
                  </pic:nvPicPr>
                  <pic:blipFill>
                    <a:blip r:embed="rId21"/>
                    <a:stretch>
                      <a:fillRect/>
                    </a:stretch>
                  </pic:blipFill>
                  <pic:spPr>
                    <a:xfrm>
                      <a:off x="0" y="0"/>
                      <a:ext cx="5486400" cy="3170555"/>
                    </a:xfrm>
                    <a:prstGeom prst="rect">
                      <a:avLst/>
                    </a:prstGeom>
                  </pic:spPr>
                </pic:pic>
              </a:graphicData>
            </a:graphic>
          </wp:inline>
        </w:drawing>
      </w:r>
    </w:p>
    <w:p w14:paraId="7BA152B8" w14:textId="77777777" w:rsidR="003F5D06" w:rsidRDefault="003F5D06" w:rsidP="003F5D06">
      <w:pPr>
        <w:pStyle w:val="ListParagraph"/>
        <w:spacing w:line="360" w:lineRule="auto"/>
        <w:jc w:val="center"/>
        <w:rPr>
          <w:rFonts w:ascii="Times" w:hAnsi="Times"/>
        </w:rPr>
      </w:pPr>
      <w:r w:rsidRPr="00D92149">
        <w:rPr>
          <w:rFonts w:ascii="Times" w:hAnsi="Times"/>
        </w:rPr>
        <w:t xml:space="preserve">Figure 12- Past </w:t>
      </w:r>
      <w:proofErr w:type="spellStart"/>
      <w:r w:rsidRPr="00D92149">
        <w:rPr>
          <w:rFonts w:ascii="Times" w:hAnsi="Times"/>
        </w:rPr>
        <w:t>period_Market</w:t>
      </w:r>
      <w:proofErr w:type="spellEnd"/>
      <w:r w:rsidRPr="00D92149">
        <w:rPr>
          <w:rFonts w:ascii="Times" w:hAnsi="Times"/>
        </w:rPr>
        <w:t xml:space="preserve"> Asking Rent Growth</w:t>
      </w:r>
    </w:p>
    <w:p w14:paraId="7A943703" w14:textId="78FA3A83" w:rsidR="007A668C" w:rsidRPr="007A668C" w:rsidRDefault="007A668C" w:rsidP="007A668C">
      <w:pPr>
        <w:pStyle w:val="ListParagraph"/>
        <w:spacing w:line="360" w:lineRule="auto"/>
        <w:jc w:val="both"/>
        <w:rPr>
          <w:rFonts w:ascii="Times" w:hAnsi="Times"/>
          <w:b/>
          <w:bCs/>
        </w:rPr>
      </w:pPr>
      <w:r>
        <w:rPr>
          <w:rFonts w:ascii="Times" w:hAnsi="Times"/>
          <w:b/>
          <w:bCs/>
        </w:rPr>
        <w:t>The p</w:t>
      </w:r>
      <w:r>
        <w:rPr>
          <w:rFonts w:ascii="Times" w:hAnsi="Times"/>
          <w:b/>
          <w:bCs/>
        </w:rPr>
        <w:t xml:space="preserve">ast period from </w:t>
      </w:r>
      <w:r>
        <w:rPr>
          <w:rFonts w:ascii="Times" w:hAnsi="Times"/>
          <w:b/>
          <w:bCs/>
        </w:rPr>
        <w:t>Q1/</w:t>
      </w:r>
      <w:r>
        <w:rPr>
          <w:rFonts w:ascii="Times" w:hAnsi="Times"/>
          <w:b/>
          <w:bCs/>
        </w:rPr>
        <w:t>2014 to Q3</w:t>
      </w:r>
      <w:r>
        <w:rPr>
          <w:rFonts w:ascii="Times" w:hAnsi="Times"/>
          <w:b/>
          <w:bCs/>
        </w:rPr>
        <w:t>/2024</w:t>
      </w:r>
      <w:r>
        <w:rPr>
          <w:rFonts w:ascii="Times" w:hAnsi="Times"/>
          <w:b/>
          <w:bCs/>
        </w:rPr>
        <w:t>:</w:t>
      </w:r>
      <w:r>
        <w:rPr>
          <w:rFonts w:ascii="Times" w:hAnsi="Times"/>
          <w:b/>
          <w:bCs/>
        </w:rPr>
        <w:t xml:space="preserve"> </w:t>
      </w:r>
    </w:p>
    <w:tbl>
      <w:tblPr>
        <w:tblW w:w="9580" w:type="dxa"/>
        <w:tblLook w:val="04A0" w:firstRow="1" w:lastRow="0" w:firstColumn="1" w:lastColumn="0" w:noHBand="0" w:noVBand="1"/>
      </w:tblPr>
      <w:tblGrid>
        <w:gridCol w:w="2820"/>
        <w:gridCol w:w="2640"/>
        <w:gridCol w:w="1300"/>
        <w:gridCol w:w="2820"/>
      </w:tblGrid>
      <w:tr w:rsidR="007A668C" w14:paraId="23B51146" w14:textId="77777777" w:rsidTr="00F94995">
        <w:trPr>
          <w:trHeight w:val="300"/>
        </w:trPr>
        <w:tc>
          <w:tcPr>
            <w:tcW w:w="2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0F71D1" w14:textId="77777777" w:rsidR="007A668C" w:rsidRDefault="007A668C" w:rsidP="00F94995">
            <w:pPr>
              <w:rPr>
                <w:rFonts w:ascii="Calibri" w:hAnsi="Calibri" w:cs="Calibri"/>
                <w:b/>
                <w:bCs/>
                <w:color w:val="000000"/>
                <w:sz w:val="22"/>
                <w:szCs w:val="22"/>
              </w:rPr>
            </w:pPr>
            <w:r>
              <w:rPr>
                <w:rFonts w:ascii="Calibri" w:hAnsi="Calibri" w:cs="Calibri"/>
                <w:b/>
                <w:bCs/>
                <w:color w:val="000000"/>
                <w:sz w:val="22"/>
                <w:szCs w:val="22"/>
              </w:rPr>
              <w:t>Milwaukee</w:t>
            </w:r>
          </w:p>
        </w:tc>
        <w:tc>
          <w:tcPr>
            <w:tcW w:w="2640" w:type="dxa"/>
            <w:tcBorders>
              <w:top w:val="single" w:sz="4" w:space="0" w:color="auto"/>
              <w:left w:val="nil"/>
              <w:bottom w:val="single" w:sz="4" w:space="0" w:color="auto"/>
              <w:right w:val="single" w:sz="4" w:space="0" w:color="auto"/>
            </w:tcBorders>
            <w:shd w:val="clear" w:color="auto" w:fill="auto"/>
            <w:noWrap/>
            <w:vAlign w:val="bottom"/>
            <w:hideMark/>
          </w:tcPr>
          <w:p w14:paraId="228E1ED7" w14:textId="77777777" w:rsidR="007A668C" w:rsidRDefault="007A668C" w:rsidP="00F94995">
            <w:pPr>
              <w:rPr>
                <w:rFonts w:ascii="Calibri" w:hAnsi="Calibri" w:cs="Calibri"/>
                <w:b/>
                <w:bCs/>
                <w:color w:val="000000"/>
                <w:sz w:val="22"/>
                <w:szCs w:val="22"/>
              </w:rPr>
            </w:pPr>
            <w:r>
              <w:rPr>
                <w:rFonts w:ascii="Calibri" w:hAnsi="Calibri" w:cs="Calibri"/>
                <w:b/>
                <w:bCs/>
                <w:color w:val="000000"/>
                <w:sz w:val="22"/>
                <w:szCs w:val="22"/>
              </w:rPr>
              <w:t>Mean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141F59F" w14:textId="77777777" w:rsidR="007A668C" w:rsidRDefault="007A668C" w:rsidP="00F94995">
            <w:pPr>
              <w:rPr>
                <w:rFonts w:ascii="Calibri" w:hAnsi="Calibri" w:cs="Calibri"/>
                <w:b/>
                <w:bCs/>
                <w:color w:val="000000"/>
                <w:sz w:val="22"/>
                <w:szCs w:val="22"/>
              </w:rPr>
            </w:pPr>
            <w:r>
              <w:rPr>
                <w:rFonts w:ascii="Calibri" w:hAnsi="Calibri" w:cs="Calibri"/>
                <w:b/>
                <w:bCs/>
                <w:color w:val="000000"/>
                <w:sz w:val="22"/>
                <w:szCs w:val="22"/>
              </w:rPr>
              <w:t>Median</w:t>
            </w:r>
          </w:p>
        </w:tc>
        <w:tc>
          <w:tcPr>
            <w:tcW w:w="2820" w:type="dxa"/>
            <w:tcBorders>
              <w:top w:val="single" w:sz="4" w:space="0" w:color="auto"/>
              <w:left w:val="nil"/>
              <w:bottom w:val="single" w:sz="4" w:space="0" w:color="auto"/>
              <w:right w:val="single" w:sz="4" w:space="0" w:color="auto"/>
            </w:tcBorders>
            <w:shd w:val="clear" w:color="auto" w:fill="auto"/>
            <w:noWrap/>
            <w:vAlign w:val="bottom"/>
            <w:hideMark/>
          </w:tcPr>
          <w:p w14:paraId="1A78B499" w14:textId="77777777" w:rsidR="007A668C" w:rsidRDefault="007A668C" w:rsidP="00F94995">
            <w:pPr>
              <w:rPr>
                <w:rFonts w:ascii="Calibri" w:hAnsi="Calibri" w:cs="Calibri"/>
                <w:b/>
                <w:bCs/>
                <w:color w:val="000000"/>
                <w:sz w:val="22"/>
                <w:szCs w:val="22"/>
              </w:rPr>
            </w:pPr>
            <w:r>
              <w:rPr>
                <w:rFonts w:ascii="Calibri" w:hAnsi="Calibri" w:cs="Calibri"/>
                <w:b/>
                <w:bCs/>
                <w:color w:val="000000"/>
                <w:sz w:val="22"/>
                <w:szCs w:val="22"/>
              </w:rPr>
              <w:t>Standard Deviation</w:t>
            </w:r>
          </w:p>
        </w:tc>
      </w:tr>
      <w:tr w:rsidR="007A668C" w14:paraId="33F741A4"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4646D0A"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Market Asking Rent Growth</w:t>
            </w:r>
          </w:p>
        </w:tc>
        <w:tc>
          <w:tcPr>
            <w:tcW w:w="2640" w:type="dxa"/>
            <w:tcBorders>
              <w:top w:val="nil"/>
              <w:left w:val="nil"/>
              <w:bottom w:val="single" w:sz="4" w:space="0" w:color="auto"/>
              <w:right w:val="single" w:sz="4" w:space="0" w:color="auto"/>
            </w:tcBorders>
            <w:shd w:val="clear" w:color="auto" w:fill="auto"/>
            <w:noWrap/>
            <w:vAlign w:val="bottom"/>
            <w:hideMark/>
          </w:tcPr>
          <w:p w14:paraId="4BB804D4"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0.7%</w:t>
            </w:r>
          </w:p>
        </w:tc>
        <w:tc>
          <w:tcPr>
            <w:tcW w:w="1300" w:type="dxa"/>
            <w:tcBorders>
              <w:top w:val="nil"/>
              <w:left w:val="nil"/>
              <w:bottom w:val="single" w:sz="4" w:space="0" w:color="auto"/>
              <w:right w:val="single" w:sz="4" w:space="0" w:color="auto"/>
            </w:tcBorders>
            <w:shd w:val="clear" w:color="auto" w:fill="auto"/>
            <w:noWrap/>
            <w:vAlign w:val="bottom"/>
            <w:hideMark/>
          </w:tcPr>
          <w:p w14:paraId="6D9E1DF1"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0.006</w:t>
            </w:r>
          </w:p>
        </w:tc>
        <w:tc>
          <w:tcPr>
            <w:tcW w:w="2820" w:type="dxa"/>
            <w:tcBorders>
              <w:top w:val="nil"/>
              <w:left w:val="nil"/>
              <w:bottom w:val="single" w:sz="4" w:space="0" w:color="auto"/>
              <w:right w:val="single" w:sz="4" w:space="0" w:color="auto"/>
            </w:tcBorders>
            <w:shd w:val="clear" w:color="auto" w:fill="auto"/>
            <w:noWrap/>
            <w:vAlign w:val="bottom"/>
            <w:hideMark/>
          </w:tcPr>
          <w:p w14:paraId="65EF9A17"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0.007079676</w:t>
            </w:r>
          </w:p>
        </w:tc>
      </w:tr>
      <w:tr w:rsidR="007A668C" w14:paraId="054946FE"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F9E0FE3"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Market Asking Rent/Unit</w:t>
            </w:r>
          </w:p>
        </w:tc>
        <w:tc>
          <w:tcPr>
            <w:tcW w:w="2640" w:type="dxa"/>
            <w:tcBorders>
              <w:top w:val="nil"/>
              <w:left w:val="nil"/>
              <w:bottom w:val="single" w:sz="4" w:space="0" w:color="auto"/>
              <w:right w:val="single" w:sz="4" w:space="0" w:color="auto"/>
            </w:tcBorders>
            <w:shd w:val="clear" w:color="auto" w:fill="auto"/>
            <w:noWrap/>
            <w:vAlign w:val="bottom"/>
            <w:hideMark/>
          </w:tcPr>
          <w:p w14:paraId="5DD4531A"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$1,294</w:t>
            </w:r>
          </w:p>
        </w:tc>
        <w:tc>
          <w:tcPr>
            <w:tcW w:w="1300" w:type="dxa"/>
            <w:tcBorders>
              <w:top w:val="nil"/>
              <w:left w:val="nil"/>
              <w:bottom w:val="single" w:sz="4" w:space="0" w:color="auto"/>
              <w:right w:val="single" w:sz="4" w:space="0" w:color="auto"/>
            </w:tcBorders>
            <w:shd w:val="clear" w:color="auto" w:fill="auto"/>
            <w:noWrap/>
            <w:vAlign w:val="bottom"/>
            <w:hideMark/>
          </w:tcPr>
          <w:p w14:paraId="3584EBE8"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$1,268</w:t>
            </w:r>
          </w:p>
        </w:tc>
        <w:tc>
          <w:tcPr>
            <w:tcW w:w="2820" w:type="dxa"/>
            <w:tcBorders>
              <w:top w:val="nil"/>
              <w:left w:val="nil"/>
              <w:bottom w:val="single" w:sz="4" w:space="0" w:color="auto"/>
              <w:right w:val="single" w:sz="4" w:space="0" w:color="auto"/>
            </w:tcBorders>
            <w:shd w:val="clear" w:color="auto" w:fill="auto"/>
            <w:noWrap/>
            <w:vAlign w:val="bottom"/>
            <w:hideMark/>
          </w:tcPr>
          <w:p w14:paraId="475AE67E"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123.5286786</w:t>
            </w:r>
          </w:p>
        </w:tc>
      </w:tr>
      <w:tr w:rsidR="007A668C" w14:paraId="13FF4D18"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6735423B"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Market Effective Rent Growth</w:t>
            </w:r>
          </w:p>
        </w:tc>
        <w:tc>
          <w:tcPr>
            <w:tcW w:w="2640" w:type="dxa"/>
            <w:tcBorders>
              <w:top w:val="nil"/>
              <w:left w:val="nil"/>
              <w:bottom w:val="single" w:sz="4" w:space="0" w:color="auto"/>
              <w:right w:val="single" w:sz="4" w:space="0" w:color="auto"/>
            </w:tcBorders>
            <w:shd w:val="clear" w:color="auto" w:fill="auto"/>
            <w:noWrap/>
            <w:vAlign w:val="bottom"/>
            <w:hideMark/>
          </w:tcPr>
          <w:p w14:paraId="013AC7F9"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0.7%</w:t>
            </w:r>
          </w:p>
        </w:tc>
        <w:tc>
          <w:tcPr>
            <w:tcW w:w="1300" w:type="dxa"/>
            <w:tcBorders>
              <w:top w:val="nil"/>
              <w:left w:val="nil"/>
              <w:bottom w:val="single" w:sz="4" w:space="0" w:color="auto"/>
              <w:right w:val="single" w:sz="4" w:space="0" w:color="auto"/>
            </w:tcBorders>
            <w:shd w:val="clear" w:color="auto" w:fill="auto"/>
            <w:noWrap/>
            <w:vAlign w:val="bottom"/>
            <w:hideMark/>
          </w:tcPr>
          <w:p w14:paraId="47165C92"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$0.005</w:t>
            </w:r>
          </w:p>
        </w:tc>
        <w:tc>
          <w:tcPr>
            <w:tcW w:w="2820" w:type="dxa"/>
            <w:tcBorders>
              <w:top w:val="nil"/>
              <w:left w:val="nil"/>
              <w:bottom w:val="single" w:sz="4" w:space="0" w:color="auto"/>
              <w:right w:val="single" w:sz="4" w:space="0" w:color="auto"/>
            </w:tcBorders>
            <w:shd w:val="clear" w:color="auto" w:fill="auto"/>
            <w:noWrap/>
            <w:vAlign w:val="bottom"/>
            <w:hideMark/>
          </w:tcPr>
          <w:p w14:paraId="3FEA20F6"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0.008338492</w:t>
            </w:r>
          </w:p>
        </w:tc>
      </w:tr>
      <w:tr w:rsidR="007A668C" w14:paraId="71E63492"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43D4F63"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Market Effective Rent/Unit</w:t>
            </w:r>
          </w:p>
        </w:tc>
        <w:tc>
          <w:tcPr>
            <w:tcW w:w="2640" w:type="dxa"/>
            <w:tcBorders>
              <w:top w:val="nil"/>
              <w:left w:val="nil"/>
              <w:bottom w:val="single" w:sz="4" w:space="0" w:color="auto"/>
              <w:right w:val="single" w:sz="4" w:space="0" w:color="auto"/>
            </w:tcBorders>
            <w:shd w:val="clear" w:color="auto" w:fill="auto"/>
            <w:noWrap/>
            <w:vAlign w:val="bottom"/>
            <w:hideMark/>
          </w:tcPr>
          <w:p w14:paraId="7F1B4F3E"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$1,282</w:t>
            </w:r>
          </w:p>
        </w:tc>
        <w:tc>
          <w:tcPr>
            <w:tcW w:w="1300" w:type="dxa"/>
            <w:tcBorders>
              <w:top w:val="nil"/>
              <w:left w:val="nil"/>
              <w:bottom w:val="single" w:sz="4" w:space="0" w:color="auto"/>
              <w:right w:val="single" w:sz="4" w:space="0" w:color="auto"/>
            </w:tcBorders>
            <w:shd w:val="clear" w:color="auto" w:fill="auto"/>
            <w:noWrap/>
            <w:vAlign w:val="bottom"/>
            <w:hideMark/>
          </w:tcPr>
          <w:p w14:paraId="55BC0C43"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$1,252</w:t>
            </w:r>
          </w:p>
        </w:tc>
        <w:tc>
          <w:tcPr>
            <w:tcW w:w="2820" w:type="dxa"/>
            <w:tcBorders>
              <w:top w:val="nil"/>
              <w:left w:val="nil"/>
              <w:bottom w:val="single" w:sz="4" w:space="0" w:color="auto"/>
              <w:right w:val="single" w:sz="4" w:space="0" w:color="auto"/>
            </w:tcBorders>
            <w:shd w:val="clear" w:color="auto" w:fill="auto"/>
            <w:noWrap/>
            <w:vAlign w:val="bottom"/>
            <w:hideMark/>
          </w:tcPr>
          <w:p w14:paraId="2A2F413B"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127.2348697</w:t>
            </w:r>
          </w:p>
        </w:tc>
      </w:tr>
      <w:tr w:rsidR="007A668C" w14:paraId="6CEA7F1A"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77BB176"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Demand Units</w:t>
            </w:r>
          </w:p>
        </w:tc>
        <w:tc>
          <w:tcPr>
            <w:tcW w:w="2640" w:type="dxa"/>
            <w:tcBorders>
              <w:top w:val="nil"/>
              <w:left w:val="nil"/>
              <w:bottom w:val="single" w:sz="4" w:space="0" w:color="auto"/>
              <w:right w:val="single" w:sz="4" w:space="0" w:color="auto"/>
            </w:tcBorders>
            <w:shd w:val="clear" w:color="auto" w:fill="auto"/>
            <w:noWrap/>
            <w:vAlign w:val="bottom"/>
            <w:hideMark/>
          </w:tcPr>
          <w:p w14:paraId="4F53CF69"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39,358</w:t>
            </w:r>
          </w:p>
        </w:tc>
        <w:tc>
          <w:tcPr>
            <w:tcW w:w="1300" w:type="dxa"/>
            <w:tcBorders>
              <w:top w:val="nil"/>
              <w:left w:val="nil"/>
              <w:bottom w:val="single" w:sz="4" w:space="0" w:color="auto"/>
              <w:right w:val="single" w:sz="4" w:space="0" w:color="auto"/>
            </w:tcBorders>
            <w:shd w:val="clear" w:color="auto" w:fill="auto"/>
            <w:noWrap/>
            <w:vAlign w:val="bottom"/>
            <w:hideMark/>
          </w:tcPr>
          <w:p w14:paraId="5D48DD4A"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38,826</w:t>
            </w:r>
          </w:p>
        </w:tc>
        <w:tc>
          <w:tcPr>
            <w:tcW w:w="2820" w:type="dxa"/>
            <w:tcBorders>
              <w:top w:val="nil"/>
              <w:left w:val="nil"/>
              <w:bottom w:val="single" w:sz="4" w:space="0" w:color="auto"/>
              <w:right w:val="single" w:sz="4" w:space="0" w:color="auto"/>
            </w:tcBorders>
            <w:shd w:val="clear" w:color="auto" w:fill="auto"/>
            <w:noWrap/>
            <w:vAlign w:val="bottom"/>
            <w:hideMark/>
          </w:tcPr>
          <w:p w14:paraId="4F5E3A2C"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4144.36562</w:t>
            </w:r>
          </w:p>
        </w:tc>
      </w:tr>
      <w:tr w:rsidR="007A668C" w14:paraId="38193655"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B1AEF78"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Net delivered Units</w:t>
            </w:r>
          </w:p>
        </w:tc>
        <w:tc>
          <w:tcPr>
            <w:tcW w:w="2640" w:type="dxa"/>
            <w:tcBorders>
              <w:top w:val="nil"/>
              <w:left w:val="nil"/>
              <w:bottom w:val="single" w:sz="4" w:space="0" w:color="auto"/>
              <w:right w:val="single" w:sz="4" w:space="0" w:color="auto"/>
            </w:tcBorders>
            <w:shd w:val="clear" w:color="auto" w:fill="auto"/>
            <w:noWrap/>
            <w:vAlign w:val="bottom"/>
            <w:hideMark/>
          </w:tcPr>
          <w:p w14:paraId="5361C581"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296</w:t>
            </w:r>
          </w:p>
        </w:tc>
        <w:tc>
          <w:tcPr>
            <w:tcW w:w="1300" w:type="dxa"/>
            <w:tcBorders>
              <w:top w:val="nil"/>
              <w:left w:val="nil"/>
              <w:bottom w:val="single" w:sz="4" w:space="0" w:color="auto"/>
              <w:right w:val="single" w:sz="4" w:space="0" w:color="auto"/>
            </w:tcBorders>
            <w:shd w:val="clear" w:color="auto" w:fill="auto"/>
            <w:noWrap/>
            <w:vAlign w:val="bottom"/>
            <w:hideMark/>
          </w:tcPr>
          <w:p w14:paraId="68E2C9E4"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258</w:t>
            </w:r>
          </w:p>
        </w:tc>
        <w:tc>
          <w:tcPr>
            <w:tcW w:w="2820" w:type="dxa"/>
            <w:tcBorders>
              <w:top w:val="nil"/>
              <w:left w:val="nil"/>
              <w:bottom w:val="single" w:sz="4" w:space="0" w:color="auto"/>
              <w:right w:val="single" w:sz="4" w:space="0" w:color="auto"/>
            </w:tcBorders>
            <w:shd w:val="clear" w:color="auto" w:fill="auto"/>
            <w:noWrap/>
            <w:vAlign w:val="bottom"/>
            <w:hideMark/>
          </w:tcPr>
          <w:p w14:paraId="5F681C79"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200.2006828</w:t>
            </w:r>
          </w:p>
        </w:tc>
      </w:tr>
      <w:tr w:rsidR="007A668C" w14:paraId="7C0650C9"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3A4635B1"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Units Under Construction</w:t>
            </w:r>
          </w:p>
        </w:tc>
        <w:tc>
          <w:tcPr>
            <w:tcW w:w="2640" w:type="dxa"/>
            <w:tcBorders>
              <w:top w:val="nil"/>
              <w:left w:val="nil"/>
              <w:bottom w:val="single" w:sz="4" w:space="0" w:color="auto"/>
              <w:right w:val="single" w:sz="4" w:space="0" w:color="auto"/>
            </w:tcBorders>
            <w:shd w:val="clear" w:color="auto" w:fill="auto"/>
            <w:noWrap/>
            <w:vAlign w:val="bottom"/>
            <w:hideMark/>
          </w:tcPr>
          <w:p w14:paraId="3286A6D6"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1,706</w:t>
            </w:r>
          </w:p>
        </w:tc>
        <w:tc>
          <w:tcPr>
            <w:tcW w:w="1300" w:type="dxa"/>
            <w:tcBorders>
              <w:top w:val="nil"/>
              <w:left w:val="nil"/>
              <w:bottom w:val="single" w:sz="4" w:space="0" w:color="auto"/>
              <w:right w:val="single" w:sz="4" w:space="0" w:color="auto"/>
            </w:tcBorders>
            <w:shd w:val="clear" w:color="auto" w:fill="auto"/>
            <w:noWrap/>
            <w:vAlign w:val="bottom"/>
            <w:hideMark/>
          </w:tcPr>
          <w:p w14:paraId="72BB29EB"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1,878</w:t>
            </w:r>
          </w:p>
        </w:tc>
        <w:tc>
          <w:tcPr>
            <w:tcW w:w="2820" w:type="dxa"/>
            <w:tcBorders>
              <w:top w:val="nil"/>
              <w:left w:val="nil"/>
              <w:bottom w:val="single" w:sz="4" w:space="0" w:color="auto"/>
              <w:right w:val="single" w:sz="4" w:space="0" w:color="auto"/>
            </w:tcBorders>
            <w:shd w:val="clear" w:color="auto" w:fill="auto"/>
            <w:noWrap/>
            <w:vAlign w:val="bottom"/>
            <w:hideMark/>
          </w:tcPr>
          <w:p w14:paraId="114415D5"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613.8060889</w:t>
            </w:r>
          </w:p>
        </w:tc>
      </w:tr>
      <w:tr w:rsidR="007A668C" w14:paraId="322AF7AF"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9562901"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Absorption rate (%)</w:t>
            </w:r>
          </w:p>
        </w:tc>
        <w:tc>
          <w:tcPr>
            <w:tcW w:w="2640" w:type="dxa"/>
            <w:tcBorders>
              <w:top w:val="nil"/>
              <w:left w:val="nil"/>
              <w:bottom w:val="single" w:sz="4" w:space="0" w:color="auto"/>
              <w:right w:val="single" w:sz="4" w:space="0" w:color="auto"/>
            </w:tcBorders>
            <w:shd w:val="clear" w:color="auto" w:fill="auto"/>
            <w:noWrap/>
            <w:vAlign w:val="bottom"/>
            <w:hideMark/>
          </w:tcPr>
          <w:p w14:paraId="196FDA1E"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0.7%</w:t>
            </w:r>
          </w:p>
        </w:tc>
        <w:tc>
          <w:tcPr>
            <w:tcW w:w="1300" w:type="dxa"/>
            <w:tcBorders>
              <w:top w:val="nil"/>
              <w:left w:val="nil"/>
              <w:bottom w:val="single" w:sz="4" w:space="0" w:color="auto"/>
              <w:right w:val="single" w:sz="4" w:space="0" w:color="auto"/>
            </w:tcBorders>
            <w:shd w:val="clear" w:color="auto" w:fill="auto"/>
            <w:noWrap/>
            <w:vAlign w:val="bottom"/>
            <w:hideMark/>
          </w:tcPr>
          <w:p w14:paraId="730F60B3"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0.6%</w:t>
            </w:r>
          </w:p>
        </w:tc>
        <w:tc>
          <w:tcPr>
            <w:tcW w:w="2820" w:type="dxa"/>
            <w:tcBorders>
              <w:top w:val="nil"/>
              <w:left w:val="nil"/>
              <w:bottom w:val="single" w:sz="4" w:space="0" w:color="auto"/>
              <w:right w:val="single" w:sz="4" w:space="0" w:color="auto"/>
            </w:tcBorders>
            <w:shd w:val="clear" w:color="auto" w:fill="auto"/>
            <w:noWrap/>
            <w:vAlign w:val="bottom"/>
            <w:hideMark/>
          </w:tcPr>
          <w:p w14:paraId="2FFDAEE3"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0.004291819</w:t>
            </w:r>
          </w:p>
        </w:tc>
      </w:tr>
      <w:tr w:rsidR="007A668C" w14:paraId="04933309"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356CB769"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Stabilized Vacancy</w:t>
            </w:r>
          </w:p>
        </w:tc>
        <w:tc>
          <w:tcPr>
            <w:tcW w:w="2640" w:type="dxa"/>
            <w:tcBorders>
              <w:top w:val="nil"/>
              <w:left w:val="nil"/>
              <w:bottom w:val="single" w:sz="4" w:space="0" w:color="auto"/>
              <w:right w:val="single" w:sz="4" w:space="0" w:color="auto"/>
            </w:tcBorders>
            <w:shd w:val="clear" w:color="auto" w:fill="auto"/>
            <w:noWrap/>
            <w:vAlign w:val="bottom"/>
            <w:hideMark/>
          </w:tcPr>
          <w:p w14:paraId="26C511E2"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3.6%</w:t>
            </w:r>
          </w:p>
        </w:tc>
        <w:tc>
          <w:tcPr>
            <w:tcW w:w="1300" w:type="dxa"/>
            <w:tcBorders>
              <w:top w:val="nil"/>
              <w:left w:val="nil"/>
              <w:bottom w:val="single" w:sz="4" w:space="0" w:color="auto"/>
              <w:right w:val="single" w:sz="4" w:space="0" w:color="auto"/>
            </w:tcBorders>
            <w:shd w:val="clear" w:color="auto" w:fill="auto"/>
            <w:noWrap/>
            <w:vAlign w:val="bottom"/>
            <w:hideMark/>
          </w:tcPr>
          <w:p w14:paraId="714BE3AA"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3.7%</w:t>
            </w:r>
          </w:p>
        </w:tc>
        <w:tc>
          <w:tcPr>
            <w:tcW w:w="2820" w:type="dxa"/>
            <w:tcBorders>
              <w:top w:val="nil"/>
              <w:left w:val="nil"/>
              <w:bottom w:val="single" w:sz="4" w:space="0" w:color="auto"/>
              <w:right w:val="single" w:sz="4" w:space="0" w:color="auto"/>
            </w:tcBorders>
            <w:shd w:val="clear" w:color="auto" w:fill="auto"/>
            <w:noWrap/>
            <w:vAlign w:val="bottom"/>
            <w:hideMark/>
          </w:tcPr>
          <w:p w14:paraId="0769E56D"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0.005878449</w:t>
            </w:r>
          </w:p>
        </w:tc>
      </w:tr>
      <w:tr w:rsidR="007A668C" w14:paraId="6EAC1B76" w14:textId="77777777" w:rsidTr="00F94995">
        <w:trPr>
          <w:trHeight w:val="300"/>
        </w:trPr>
        <w:tc>
          <w:tcPr>
            <w:tcW w:w="2820" w:type="dxa"/>
            <w:tcBorders>
              <w:top w:val="nil"/>
              <w:left w:val="single" w:sz="4" w:space="0" w:color="auto"/>
              <w:bottom w:val="nil"/>
              <w:right w:val="single" w:sz="4" w:space="0" w:color="auto"/>
            </w:tcBorders>
            <w:shd w:val="clear" w:color="auto" w:fill="auto"/>
            <w:noWrap/>
            <w:vAlign w:val="bottom"/>
            <w:hideMark/>
          </w:tcPr>
          <w:p w14:paraId="1E1988BC"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Appreciation Return</w:t>
            </w:r>
          </w:p>
        </w:tc>
        <w:tc>
          <w:tcPr>
            <w:tcW w:w="2640" w:type="dxa"/>
            <w:tcBorders>
              <w:top w:val="nil"/>
              <w:left w:val="nil"/>
              <w:bottom w:val="nil"/>
              <w:right w:val="nil"/>
            </w:tcBorders>
            <w:shd w:val="clear" w:color="auto" w:fill="auto"/>
            <w:noWrap/>
            <w:vAlign w:val="bottom"/>
            <w:hideMark/>
          </w:tcPr>
          <w:p w14:paraId="549F4B12"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2.0%</w:t>
            </w:r>
          </w:p>
        </w:tc>
        <w:tc>
          <w:tcPr>
            <w:tcW w:w="1300" w:type="dxa"/>
            <w:tcBorders>
              <w:top w:val="nil"/>
              <w:left w:val="nil"/>
              <w:bottom w:val="nil"/>
              <w:right w:val="nil"/>
            </w:tcBorders>
            <w:shd w:val="clear" w:color="auto" w:fill="auto"/>
            <w:noWrap/>
            <w:vAlign w:val="bottom"/>
            <w:hideMark/>
          </w:tcPr>
          <w:p w14:paraId="7E0FC2E8"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3.0%</w:t>
            </w:r>
          </w:p>
        </w:tc>
        <w:tc>
          <w:tcPr>
            <w:tcW w:w="2820" w:type="dxa"/>
            <w:tcBorders>
              <w:top w:val="nil"/>
              <w:left w:val="nil"/>
              <w:bottom w:val="nil"/>
              <w:right w:val="nil"/>
            </w:tcBorders>
            <w:shd w:val="clear" w:color="auto" w:fill="auto"/>
            <w:noWrap/>
            <w:vAlign w:val="bottom"/>
            <w:hideMark/>
          </w:tcPr>
          <w:p w14:paraId="3DB54886"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0.051319694</w:t>
            </w:r>
          </w:p>
        </w:tc>
      </w:tr>
      <w:tr w:rsidR="007A668C" w14:paraId="70F9B9F5" w14:textId="77777777" w:rsidTr="00F94995">
        <w:trPr>
          <w:trHeight w:val="300"/>
        </w:trPr>
        <w:tc>
          <w:tcPr>
            <w:tcW w:w="2820" w:type="dxa"/>
            <w:tcBorders>
              <w:top w:val="nil"/>
              <w:left w:val="single" w:sz="4" w:space="0" w:color="auto"/>
              <w:bottom w:val="nil"/>
              <w:right w:val="single" w:sz="4" w:space="0" w:color="auto"/>
            </w:tcBorders>
            <w:shd w:val="clear" w:color="auto" w:fill="auto"/>
            <w:noWrap/>
            <w:vAlign w:val="bottom"/>
          </w:tcPr>
          <w:p w14:paraId="5BA67574" w14:textId="77777777" w:rsidR="007A668C" w:rsidRDefault="007A668C" w:rsidP="00F94995">
            <w:pPr>
              <w:rPr>
                <w:rFonts w:ascii="Calibri" w:hAnsi="Calibri" w:cs="Calibri"/>
                <w:color w:val="000000"/>
                <w:sz w:val="22"/>
                <w:szCs w:val="22"/>
              </w:rPr>
            </w:pPr>
          </w:p>
        </w:tc>
        <w:tc>
          <w:tcPr>
            <w:tcW w:w="2640" w:type="dxa"/>
            <w:tcBorders>
              <w:top w:val="nil"/>
              <w:left w:val="nil"/>
              <w:bottom w:val="nil"/>
              <w:right w:val="nil"/>
            </w:tcBorders>
            <w:shd w:val="clear" w:color="auto" w:fill="auto"/>
            <w:noWrap/>
            <w:vAlign w:val="bottom"/>
          </w:tcPr>
          <w:p w14:paraId="1BF4B916" w14:textId="77777777" w:rsidR="007A668C" w:rsidRDefault="007A668C" w:rsidP="00F94995">
            <w:pPr>
              <w:jc w:val="right"/>
              <w:rPr>
                <w:rFonts w:ascii="Calibri" w:hAnsi="Calibri" w:cs="Calibri"/>
                <w:color w:val="000000"/>
                <w:sz w:val="22"/>
                <w:szCs w:val="22"/>
              </w:rPr>
            </w:pPr>
          </w:p>
        </w:tc>
        <w:tc>
          <w:tcPr>
            <w:tcW w:w="1300" w:type="dxa"/>
            <w:tcBorders>
              <w:top w:val="nil"/>
              <w:left w:val="nil"/>
              <w:bottom w:val="nil"/>
              <w:right w:val="nil"/>
            </w:tcBorders>
            <w:shd w:val="clear" w:color="auto" w:fill="auto"/>
            <w:noWrap/>
            <w:vAlign w:val="bottom"/>
          </w:tcPr>
          <w:p w14:paraId="166D4195" w14:textId="77777777" w:rsidR="007A668C" w:rsidRDefault="007A668C" w:rsidP="00F94995">
            <w:pPr>
              <w:jc w:val="right"/>
              <w:rPr>
                <w:rFonts w:ascii="Calibri" w:hAnsi="Calibri" w:cs="Calibri"/>
                <w:color w:val="000000"/>
                <w:sz w:val="22"/>
                <w:szCs w:val="22"/>
              </w:rPr>
            </w:pPr>
          </w:p>
        </w:tc>
        <w:tc>
          <w:tcPr>
            <w:tcW w:w="2820" w:type="dxa"/>
            <w:tcBorders>
              <w:top w:val="nil"/>
              <w:left w:val="nil"/>
              <w:bottom w:val="nil"/>
              <w:right w:val="nil"/>
            </w:tcBorders>
            <w:shd w:val="clear" w:color="auto" w:fill="auto"/>
            <w:noWrap/>
            <w:vAlign w:val="bottom"/>
          </w:tcPr>
          <w:p w14:paraId="7879BAA1" w14:textId="77777777" w:rsidR="007A668C" w:rsidRDefault="007A668C" w:rsidP="00F94995">
            <w:pPr>
              <w:jc w:val="right"/>
              <w:rPr>
                <w:rFonts w:ascii="Calibri" w:hAnsi="Calibri" w:cs="Calibri"/>
                <w:color w:val="000000"/>
                <w:sz w:val="22"/>
                <w:szCs w:val="22"/>
              </w:rPr>
            </w:pPr>
          </w:p>
        </w:tc>
      </w:tr>
    </w:tbl>
    <w:p w14:paraId="375FD56E" w14:textId="2B9E74F9" w:rsidR="007A668C" w:rsidRDefault="007A668C" w:rsidP="007A668C">
      <w:pPr>
        <w:pStyle w:val="ListParagraph"/>
        <w:spacing w:line="360" w:lineRule="auto"/>
        <w:jc w:val="center"/>
        <w:rPr>
          <w:rFonts w:ascii="Times" w:hAnsi="Times"/>
        </w:rPr>
      </w:pPr>
      <w:r>
        <w:rPr>
          <w:rFonts w:ascii="Times" w:hAnsi="Times"/>
        </w:rPr>
        <w:t>Table 1_Milwaukee from 2014 Q1 to 2024 Q3</w:t>
      </w:r>
    </w:p>
    <w:tbl>
      <w:tblPr>
        <w:tblW w:w="7386" w:type="dxa"/>
        <w:tblLook w:val="04A0" w:firstRow="1" w:lastRow="0" w:firstColumn="1" w:lastColumn="0" w:noHBand="0" w:noVBand="1"/>
      </w:tblPr>
      <w:tblGrid>
        <w:gridCol w:w="2706"/>
        <w:gridCol w:w="1300"/>
        <w:gridCol w:w="1300"/>
        <w:gridCol w:w="2080"/>
      </w:tblGrid>
      <w:tr w:rsidR="007A668C" w14:paraId="20DAD1C1" w14:textId="77777777" w:rsidTr="00F94995">
        <w:trPr>
          <w:trHeight w:val="300"/>
        </w:trPr>
        <w:tc>
          <w:tcPr>
            <w:tcW w:w="27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BA650" w14:textId="77777777" w:rsidR="007A668C" w:rsidRDefault="007A668C" w:rsidP="00F94995">
            <w:pPr>
              <w:rPr>
                <w:rFonts w:ascii="Calibri" w:hAnsi="Calibri" w:cs="Calibri"/>
                <w:b/>
                <w:bCs/>
                <w:color w:val="000000"/>
                <w:sz w:val="22"/>
                <w:szCs w:val="22"/>
              </w:rPr>
            </w:pPr>
            <w:r>
              <w:rPr>
                <w:rFonts w:ascii="Calibri" w:hAnsi="Calibri" w:cs="Calibri"/>
                <w:b/>
                <w:bCs/>
                <w:color w:val="000000"/>
                <w:sz w:val="22"/>
                <w:szCs w:val="22"/>
              </w:rPr>
              <w:t>Minneapolis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2784498" w14:textId="77777777" w:rsidR="007A668C" w:rsidRDefault="007A668C" w:rsidP="00F94995">
            <w:pPr>
              <w:rPr>
                <w:rFonts w:ascii="Calibri" w:hAnsi="Calibri" w:cs="Calibri"/>
                <w:b/>
                <w:bCs/>
                <w:color w:val="000000"/>
                <w:sz w:val="22"/>
                <w:szCs w:val="22"/>
              </w:rPr>
            </w:pPr>
            <w:r>
              <w:rPr>
                <w:rFonts w:ascii="Calibri" w:hAnsi="Calibri" w:cs="Calibri"/>
                <w:b/>
                <w:bCs/>
                <w:color w:val="000000"/>
                <w:sz w:val="22"/>
                <w:szCs w:val="22"/>
              </w:rPr>
              <w:t>Mean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AEC6CE3" w14:textId="77777777" w:rsidR="007A668C" w:rsidRDefault="007A668C" w:rsidP="00F94995">
            <w:pPr>
              <w:rPr>
                <w:rFonts w:ascii="Calibri" w:hAnsi="Calibri" w:cs="Calibri"/>
                <w:b/>
                <w:bCs/>
                <w:color w:val="000000"/>
                <w:sz w:val="22"/>
                <w:szCs w:val="22"/>
              </w:rPr>
            </w:pPr>
            <w:r>
              <w:rPr>
                <w:rFonts w:ascii="Calibri" w:hAnsi="Calibri" w:cs="Calibri"/>
                <w:b/>
                <w:bCs/>
                <w:color w:val="000000"/>
                <w:sz w:val="22"/>
                <w:szCs w:val="22"/>
              </w:rPr>
              <w:t>Median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2B1A0912" w14:textId="77777777" w:rsidR="007A668C" w:rsidRDefault="007A668C" w:rsidP="00F94995">
            <w:pPr>
              <w:rPr>
                <w:rFonts w:ascii="Calibri" w:hAnsi="Calibri" w:cs="Calibri"/>
                <w:b/>
                <w:bCs/>
                <w:color w:val="000000"/>
                <w:sz w:val="22"/>
                <w:szCs w:val="22"/>
              </w:rPr>
            </w:pPr>
            <w:r>
              <w:rPr>
                <w:rFonts w:ascii="Calibri" w:hAnsi="Calibri" w:cs="Calibri"/>
                <w:b/>
                <w:bCs/>
                <w:color w:val="000000"/>
                <w:sz w:val="22"/>
                <w:szCs w:val="22"/>
              </w:rPr>
              <w:t>Standard Deviation</w:t>
            </w:r>
          </w:p>
        </w:tc>
      </w:tr>
      <w:tr w:rsidR="007A668C" w14:paraId="54A33635" w14:textId="77777777" w:rsidTr="00F94995">
        <w:trPr>
          <w:trHeight w:val="300"/>
        </w:trPr>
        <w:tc>
          <w:tcPr>
            <w:tcW w:w="2706" w:type="dxa"/>
            <w:tcBorders>
              <w:top w:val="nil"/>
              <w:left w:val="single" w:sz="4" w:space="0" w:color="auto"/>
              <w:bottom w:val="single" w:sz="4" w:space="0" w:color="auto"/>
              <w:right w:val="single" w:sz="4" w:space="0" w:color="auto"/>
            </w:tcBorders>
            <w:shd w:val="clear" w:color="auto" w:fill="auto"/>
            <w:noWrap/>
            <w:vAlign w:val="bottom"/>
            <w:hideMark/>
          </w:tcPr>
          <w:p w14:paraId="05ADA744"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Market Asking Rent Growth</w:t>
            </w:r>
          </w:p>
        </w:tc>
        <w:tc>
          <w:tcPr>
            <w:tcW w:w="1300" w:type="dxa"/>
            <w:tcBorders>
              <w:top w:val="nil"/>
              <w:left w:val="nil"/>
              <w:bottom w:val="single" w:sz="4" w:space="0" w:color="auto"/>
              <w:right w:val="single" w:sz="4" w:space="0" w:color="auto"/>
            </w:tcBorders>
            <w:shd w:val="clear" w:color="auto" w:fill="auto"/>
            <w:noWrap/>
            <w:vAlign w:val="bottom"/>
            <w:hideMark/>
          </w:tcPr>
          <w:p w14:paraId="71F6A07C"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0.6%</w:t>
            </w:r>
          </w:p>
        </w:tc>
        <w:tc>
          <w:tcPr>
            <w:tcW w:w="1300" w:type="dxa"/>
            <w:tcBorders>
              <w:top w:val="nil"/>
              <w:left w:val="nil"/>
              <w:bottom w:val="single" w:sz="4" w:space="0" w:color="auto"/>
              <w:right w:val="single" w:sz="4" w:space="0" w:color="auto"/>
            </w:tcBorders>
            <w:shd w:val="clear" w:color="auto" w:fill="auto"/>
            <w:noWrap/>
            <w:vAlign w:val="bottom"/>
            <w:hideMark/>
          </w:tcPr>
          <w:p w14:paraId="1D77AB83"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0.005</w:t>
            </w:r>
          </w:p>
        </w:tc>
        <w:tc>
          <w:tcPr>
            <w:tcW w:w="2080" w:type="dxa"/>
            <w:tcBorders>
              <w:top w:val="nil"/>
              <w:left w:val="nil"/>
              <w:bottom w:val="single" w:sz="4" w:space="0" w:color="auto"/>
              <w:right w:val="single" w:sz="4" w:space="0" w:color="auto"/>
            </w:tcBorders>
            <w:shd w:val="clear" w:color="auto" w:fill="auto"/>
            <w:noWrap/>
            <w:vAlign w:val="bottom"/>
            <w:hideMark/>
          </w:tcPr>
          <w:p w14:paraId="12FB7AD0"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0.005355057</w:t>
            </w:r>
          </w:p>
        </w:tc>
      </w:tr>
      <w:tr w:rsidR="007A668C" w14:paraId="72CFBBCE" w14:textId="77777777" w:rsidTr="00F94995">
        <w:trPr>
          <w:trHeight w:val="300"/>
        </w:trPr>
        <w:tc>
          <w:tcPr>
            <w:tcW w:w="2706" w:type="dxa"/>
            <w:tcBorders>
              <w:top w:val="nil"/>
              <w:left w:val="single" w:sz="4" w:space="0" w:color="auto"/>
              <w:bottom w:val="single" w:sz="4" w:space="0" w:color="auto"/>
              <w:right w:val="single" w:sz="4" w:space="0" w:color="auto"/>
            </w:tcBorders>
            <w:shd w:val="clear" w:color="auto" w:fill="auto"/>
            <w:noWrap/>
            <w:vAlign w:val="bottom"/>
            <w:hideMark/>
          </w:tcPr>
          <w:p w14:paraId="14637562"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Market Asking Rent/Unit</w:t>
            </w:r>
          </w:p>
        </w:tc>
        <w:tc>
          <w:tcPr>
            <w:tcW w:w="1300" w:type="dxa"/>
            <w:tcBorders>
              <w:top w:val="nil"/>
              <w:left w:val="nil"/>
              <w:bottom w:val="single" w:sz="4" w:space="0" w:color="auto"/>
              <w:right w:val="single" w:sz="4" w:space="0" w:color="auto"/>
            </w:tcBorders>
            <w:shd w:val="clear" w:color="auto" w:fill="auto"/>
            <w:noWrap/>
            <w:vAlign w:val="bottom"/>
            <w:hideMark/>
          </w:tcPr>
          <w:p w14:paraId="469AFA2E"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$1,495</w:t>
            </w:r>
          </w:p>
        </w:tc>
        <w:tc>
          <w:tcPr>
            <w:tcW w:w="1300" w:type="dxa"/>
            <w:tcBorders>
              <w:top w:val="nil"/>
              <w:left w:val="nil"/>
              <w:bottom w:val="single" w:sz="4" w:space="0" w:color="auto"/>
              <w:right w:val="single" w:sz="4" w:space="0" w:color="auto"/>
            </w:tcBorders>
            <w:shd w:val="clear" w:color="auto" w:fill="auto"/>
            <w:noWrap/>
            <w:vAlign w:val="bottom"/>
            <w:hideMark/>
          </w:tcPr>
          <w:p w14:paraId="427C9EC9"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$1,517</w:t>
            </w:r>
          </w:p>
        </w:tc>
        <w:tc>
          <w:tcPr>
            <w:tcW w:w="2080" w:type="dxa"/>
            <w:tcBorders>
              <w:top w:val="nil"/>
              <w:left w:val="nil"/>
              <w:bottom w:val="single" w:sz="4" w:space="0" w:color="auto"/>
              <w:right w:val="single" w:sz="4" w:space="0" w:color="auto"/>
            </w:tcBorders>
            <w:shd w:val="clear" w:color="auto" w:fill="auto"/>
            <w:noWrap/>
            <w:vAlign w:val="bottom"/>
            <w:hideMark/>
          </w:tcPr>
          <w:p w14:paraId="41E46A53"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116.87587</w:t>
            </w:r>
          </w:p>
        </w:tc>
      </w:tr>
      <w:tr w:rsidR="007A668C" w14:paraId="4FE5FA5D" w14:textId="77777777" w:rsidTr="00F94995">
        <w:trPr>
          <w:trHeight w:val="300"/>
        </w:trPr>
        <w:tc>
          <w:tcPr>
            <w:tcW w:w="2706" w:type="dxa"/>
            <w:tcBorders>
              <w:top w:val="nil"/>
              <w:left w:val="single" w:sz="4" w:space="0" w:color="auto"/>
              <w:bottom w:val="single" w:sz="4" w:space="0" w:color="auto"/>
              <w:right w:val="single" w:sz="4" w:space="0" w:color="auto"/>
            </w:tcBorders>
            <w:shd w:val="clear" w:color="auto" w:fill="auto"/>
            <w:noWrap/>
            <w:vAlign w:val="bottom"/>
            <w:hideMark/>
          </w:tcPr>
          <w:p w14:paraId="2664BCE2"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Market Effective Rent Growth</w:t>
            </w:r>
          </w:p>
        </w:tc>
        <w:tc>
          <w:tcPr>
            <w:tcW w:w="1300" w:type="dxa"/>
            <w:tcBorders>
              <w:top w:val="nil"/>
              <w:left w:val="nil"/>
              <w:bottom w:val="single" w:sz="4" w:space="0" w:color="auto"/>
              <w:right w:val="single" w:sz="4" w:space="0" w:color="auto"/>
            </w:tcBorders>
            <w:shd w:val="clear" w:color="auto" w:fill="auto"/>
            <w:noWrap/>
            <w:vAlign w:val="bottom"/>
            <w:hideMark/>
          </w:tcPr>
          <w:p w14:paraId="01AEE4ED"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0.6%</w:t>
            </w:r>
          </w:p>
        </w:tc>
        <w:tc>
          <w:tcPr>
            <w:tcW w:w="1300" w:type="dxa"/>
            <w:tcBorders>
              <w:top w:val="nil"/>
              <w:left w:val="nil"/>
              <w:bottom w:val="single" w:sz="4" w:space="0" w:color="auto"/>
              <w:right w:val="single" w:sz="4" w:space="0" w:color="auto"/>
            </w:tcBorders>
            <w:shd w:val="clear" w:color="auto" w:fill="auto"/>
            <w:noWrap/>
            <w:vAlign w:val="bottom"/>
            <w:hideMark/>
          </w:tcPr>
          <w:p w14:paraId="2D90FBC4"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$0.005</w:t>
            </w:r>
          </w:p>
        </w:tc>
        <w:tc>
          <w:tcPr>
            <w:tcW w:w="2080" w:type="dxa"/>
            <w:tcBorders>
              <w:top w:val="nil"/>
              <w:left w:val="nil"/>
              <w:bottom w:val="single" w:sz="4" w:space="0" w:color="auto"/>
              <w:right w:val="single" w:sz="4" w:space="0" w:color="auto"/>
            </w:tcBorders>
            <w:shd w:val="clear" w:color="auto" w:fill="auto"/>
            <w:noWrap/>
            <w:vAlign w:val="bottom"/>
            <w:hideMark/>
          </w:tcPr>
          <w:p w14:paraId="2E17535E"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0.007455293</w:t>
            </w:r>
          </w:p>
        </w:tc>
      </w:tr>
      <w:tr w:rsidR="007A668C" w14:paraId="229F32F8" w14:textId="77777777" w:rsidTr="00F94995">
        <w:trPr>
          <w:trHeight w:val="300"/>
        </w:trPr>
        <w:tc>
          <w:tcPr>
            <w:tcW w:w="2706" w:type="dxa"/>
            <w:tcBorders>
              <w:top w:val="nil"/>
              <w:left w:val="single" w:sz="4" w:space="0" w:color="auto"/>
              <w:bottom w:val="single" w:sz="4" w:space="0" w:color="auto"/>
              <w:right w:val="single" w:sz="4" w:space="0" w:color="auto"/>
            </w:tcBorders>
            <w:shd w:val="clear" w:color="auto" w:fill="auto"/>
            <w:noWrap/>
            <w:vAlign w:val="bottom"/>
            <w:hideMark/>
          </w:tcPr>
          <w:p w14:paraId="44C2AAFC"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Market Effective Rent/Unit</w:t>
            </w:r>
          </w:p>
        </w:tc>
        <w:tc>
          <w:tcPr>
            <w:tcW w:w="1300" w:type="dxa"/>
            <w:tcBorders>
              <w:top w:val="nil"/>
              <w:left w:val="nil"/>
              <w:bottom w:val="single" w:sz="4" w:space="0" w:color="auto"/>
              <w:right w:val="single" w:sz="4" w:space="0" w:color="auto"/>
            </w:tcBorders>
            <w:shd w:val="clear" w:color="auto" w:fill="auto"/>
            <w:noWrap/>
            <w:vAlign w:val="bottom"/>
            <w:hideMark/>
          </w:tcPr>
          <w:p w14:paraId="7B266048"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$1,476</w:t>
            </w:r>
          </w:p>
        </w:tc>
        <w:tc>
          <w:tcPr>
            <w:tcW w:w="1300" w:type="dxa"/>
            <w:tcBorders>
              <w:top w:val="nil"/>
              <w:left w:val="nil"/>
              <w:bottom w:val="single" w:sz="4" w:space="0" w:color="auto"/>
              <w:right w:val="single" w:sz="4" w:space="0" w:color="auto"/>
            </w:tcBorders>
            <w:shd w:val="clear" w:color="auto" w:fill="auto"/>
            <w:noWrap/>
            <w:vAlign w:val="bottom"/>
            <w:hideMark/>
          </w:tcPr>
          <w:p w14:paraId="0A48A917"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$1,499</w:t>
            </w:r>
          </w:p>
        </w:tc>
        <w:tc>
          <w:tcPr>
            <w:tcW w:w="2080" w:type="dxa"/>
            <w:tcBorders>
              <w:top w:val="nil"/>
              <w:left w:val="nil"/>
              <w:bottom w:val="single" w:sz="4" w:space="0" w:color="auto"/>
              <w:right w:val="single" w:sz="4" w:space="0" w:color="auto"/>
            </w:tcBorders>
            <w:shd w:val="clear" w:color="auto" w:fill="auto"/>
            <w:noWrap/>
            <w:vAlign w:val="bottom"/>
            <w:hideMark/>
          </w:tcPr>
          <w:p w14:paraId="208B7F4B"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116.415374</w:t>
            </w:r>
          </w:p>
        </w:tc>
      </w:tr>
      <w:tr w:rsidR="007A668C" w14:paraId="0C70EF22" w14:textId="77777777" w:rsidTr="00F94995">
        <w:trPr>
          <w:trHeight w:val="300"/>
        </w:trPr>
        <w:tc>
          <w:tcPr>
            <w:tcW w:w="2706" w:type="dxa"/>
            <w:tcBorders>
              <w:top w:val="nil"/>
              <w:left w:val="single" w:sz="4" w:space="0" w:color="auto"/>
              <w:bottom w:val="single" w:sz="4" w:space="0" w:color="auto"/>
              <w:right w:val="single" w:sz="4" w:space="0" w:color="auto"/>
            </w:tcBorders>
            <w:shd w:val="clear" w:color="auto" w:fill="auto"/>
            <w:noWrap/>
            <w:vAlign w:val="bottom"/>
            <w:hideMark/>
          </w:tcPr>
          <w:p w14:paraId="50731BF3"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Demand Units</w:t>
            </w:r>
          </w:p>
        </w:tc>
        <w:tc>
          <w:tcPr>
            <w:tcW w:w="1300" w:type="dxa"/>
            <w:tcBorders>
              <w:top w:val="nil"/>
              <w:left w:val="nil"/>
              <w:bottom w:val="single" w:sz="4" w:space="0" w:color="auto"/>
              <w:right w:val="single" w:sz="4" w:space="0" w:color="auto"/>
            </w:tcBorders>
            <w:shd w:val="clear" w:color="auto" w:fill="auto"/>
            <w:noWrap/>
            <w:vAlign w:val="bottom"/>
            <w:hideMark/>
          </w:tcPr>
          <w:p w14:paraId="6B041A88"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63,955</w:t>
            </w:r>
          </w:p>
        </w:tc>
        <w:tc>
          <w:tcPr>
            <w:tcW w:w="1300" w:type="dxa"/>
            <w:tcBorders>
              <w:top w:val="nil"/>
              <w:left w:val="nil"/>
              <w:bottom w:val="single" w:sz="4" w:space="0" w:color="auto"/>
              <w:right w:val="single" w:sz="4" w:space="0" w:color="auto"/>
            </w:tcBorders>
            <w:shd w:val="clear" w:color="auto" w:fill="auto"/>
            <w:noWrap/>
            <w:vAlign w:val="bottom"/>
            <w:hideMark/>
          </w:tcPr>
          <w:p w14:paraId="177ACAC5"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61,541</w:t>
            </w:r>
          </w:p>
        </w:tc>
        <w:tc>
          <w:tcPr>
            <w:tcW w:w="2080" w:type="dxa"/>
            <w:tcBorders>
              <w:top w:val="nil"/>
              <w:left w:val="nil"/>
              <w:bottom w:val="single" w:sz="4" w:space="0" w:color="auto"/>
              <w:right w:val="single" w:sz="4" w:space="0" w:color="auto"/>
            </w:tcBorders>
            <w:shd w:val="clear" w:color="auto" w:fill="auto"/>
            <w:noWrap/>
            <w:vAlign w:val="bottom"/>
            <w:hideMark/>
          </w:tcPr>
          <w:p w14:paraId="5CC1A8AD"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8267.991702</w:t>
            </w:r>
          </w:p>
        </w:tc>
      </w:tr>
      <w:tr w:rsidR="007A668C" w14:paraId="5A2BB86E" w14:textId="77777777" w:rsidTr="00F94995">
        <w:trPr>
          <w:trHeight w:val="300"/>
        </w:trPr>
        <w:tc>
          <w:tcPr>
            <w:tcW w:w="2706" w:type="dxa"/>
            <w:tcBorders>
              <w:top w:val="nil"/>
              <w:left w:val="single" w:sz="4" w:space="0" w:color="auto"/>
              <w:bottom w:val="single" w:sz="4" w:space="0" w:color="auto"/>
              <w:right w:val="single" w:sz="4" w:space="0" w:color="auto"/>
            </w:tcBorders>
            <w:shd w:val="clear" w:color="auto" w:fill="auto"/>
            <w:noWrap/>
            <w:vAlign w:val="bottom"/>
            <w:hideMark/>
          </w:tcPr>
          <w:p w14:paraId="6392AF9C"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Net delivered Units</w:t>
            </w:r>
          </w:p>
        </w:tc>
        <w:tc>
          <w:tcPr>
            <w:tcW w:w="1300" w:type="dxa"/>
            <w:tcBorders>
              <w:top w:val="nil"/>
              <w:left w:val="nil"/>
              <w:bottom w:val="single" w:sz="4" w:space="0" w:color="auto"/>
              <w:right w:val="single" w:sz="4" w:space="0" w:color="auto"/>
            </w:tcBorders>
            <w:shd w:val="clear" w:color="auto" w:fill="auto"/>
            <w:noWrap/>
            <w:vAlign w:val="bottom"/>
            <w:hideMark/>
          </w:tcPr>
          <w:p w14:paraId="0D67DFB9"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821</w:t>
            </w:r>
          </w:p>
        </w:tc>
        <w:tc>
          <w:tcPr>
            <w:tcW w:w="1300" w:type="dxa"/>
            <w:tcBorders>
              <w:top w:val="nil"/>
              <w:left w:val="nil"/>
              <w:bottom w:val="single" w:sz="4" w:space="0" w:color="auto"/>
              <w:right w:val="single" w:sz="4" w:space="0" w:color="auto"/>
            </w:tcBorders>
            <w:shd w:val="clear" w:color="auto" w:fill="auto"/>
            <w:noWrap/>
            <w:vAlign w:val="bottom"/>
            <w:hideMark/>
          </w:tcPr>
          <w:p w14:paraId="64FE6CD5"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624</w:t>
            </w:r>
          </w:p>
        </w:tc>
        <w:tc>
          <w:tcPr>
            <w:tcW w:w="2080" w:type="dxa"/>
            <w:tcBorders>
              <w:top w:val="nil"/>
              <w:left w:val="nil"/>
              <w:bottom w:val="single" w:sz="4" w:space="0" w:color="auto"/>
              <w:right w:val="single" w:sz="4" w:space="0" w:color="auto"/>
            </w:tcBorders>
            <w:shd w:val="clear" w:color="auto" w:fill="auto"/>
            <w:noWrap/>
            <w:vAlign w:val="bottom"/>
            <w:hideMark/>
          </w:tcPr>
          <w:p w14:paraId="0FA2232A"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714.0642499</w:t>
            </w:r>
          </w:p>
        </w:tc>
      </w:tr>
      <w:tr w:rsidR="007A668C" w14:paraId="6172ACAF" w14:textId="77777777" w:rsidTr="00F94995">
        <w:trPr>
          <w:trHeight w:val="300"/>
        </w:trPr>
        <w:tc>
          <w:tcPr>
            <w:tcW w:w="2706" w:type="dxa"/>
            <w:tcBorders>
              <w:top w:val="nil"/>
              <w:left w:val="single" w:sz="4" w:space="0" w:color="auto"/>
              <w:bottom w:val="single" w:sz="4" w:space="0" w:color="auto"/>
              <w:right w:val="single" w:sz="4" w:space="0" w:color="auto"/>
            </w:tcBorders>
            <w:shd w:val="clear" w:color="auto" w:fill="auto"/>
            <w:noWrap/>
            <w:vAlign w:val="bottom"/>
            <w:hideMark/>
          </w:tcPr>
          <w:p w14:paraId="5A4F3A50"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lastRenderedPageBreak/>
              <w:t>Units Under Construction</w:t>
            </w:r>
          </w:p>
        </w:tc>
        <w:tc>
          <w:tcPr>
            <w:tcW w:w="1300" w:type="dxa"/>
            <w:tcBorders>
              <w:top w:val="nil"/>
              <w:left w:val="nil"/>
              <w:bottom w:val="single" w:sz="4" w:space="0" w:color="auto"/>
              <w:right w:val="single" w:sz="4" w:space="0" w:color="auto"/>
            </w:tcBorders>
            <w:shd w:val="clear" w:color="auto" w:fill="auto"/>
            <w:noWrap/>
            <w:vAlign w:val="bottom"/>
            <w:hideMark/>
          </w:tcPr>
          <w:p w14:paraId="2C7CED8C"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5,023</w:t>
            </w:r>
          </w:p>
        </w:tc>
        <w:tc>
          <w:tcPr>
            <w:tcW w:w="1300" w:type="dxa"/>
            <w:tcBorders>
              <w:top w:val="nil"/>
              <w:left w:val="nil"/>
              <w:bottom w:val="single" w:sz="4" w:space="0" w:color="auto"/>
              <w:right w:val="single" w:sz="4" w:space="0" w:color="auto"/>
            </w:tcBorders>
            <w:shd w:val="clear" w:color="auto" w:fill="auto"/>
            <w:noWrap/>
            <w:vAlign w:val="bottom"/>
            <w:hideMark/>
          </w:tcPr>
          <w:p w14:paraId="4FB1EF92"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3,810</w:t>
            </w:r>
          </w:p>
        </w:tc>
        <w:tc>
          <w:tcPr>
            <w:tcW w:w="2080" w:type="dxa"/>
            <w:tcBorders>
              <w:top w:val="nil"/>
              <w:left w:val="nil"/>
              <w:bottom w:val="single" w:sz="4" w:space="0" w:color="auto"/>
              <w:right w:val="single" w:sz="4" w:space="0" w:color="auto"/>
            </w:tcBorders>
            <w:shd w:val="clear" w:color="auto" w:fill="auto"/>
            <w:noWrap/>
            <w:vAlign w:val="bottom"/>
            <w:hideMark/>
          </w:tcPr>
          <w:p w14:paraId="78409A77"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3533.086047</w:t>
            </w:r>
          </w:p>
        </w:tc>
      </w:tr>
      <w:tr w:rsidR="007A668C" w14:paraId="24EACD2B" w14:textId="77777777" w:rsidTr="00F94995">
        <w:trPr>
          <w:trHeight w:val="300"/>
        </w:trPr>
        <w:tc>
          <w:tcPr>
            <w:tcW w:w="2706" w:type="dxa"/>
            <w:tcBorders>
              <w:top w:val="nil"/>
              <w:left w:val="single" w:sz="4" w:space="0" w:color="auto"/>
              <w:bottom w:val="single" w:sz="4" w:space="0" w:color="auto"/>
              <w:right w:val="single" w:sz="4" w:space="0" w:color="auto"/>
            </w:tcBorders>
            <w:shd w:val="clear" w:color="auto" w:fill="auto"/>
            <w:noWrap/>
            <w:vAlign w:val="bottom"/>
            <w:hideMark/>
          </w:tcPr>
          <w:p w14:paraId="07578D2B"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Absorption rate (%)</w:t>
            </w:r>
          </w:p>
        </w:tc>
        <w:tc>
          <w:tcPr>
            <w:tcW w:w="1300" w:type="dxa"/>
            <w:tcBorders>
              <w:top w:val="nil"/>
              <w:left w:val="nil"/>
              <w:bottom w:val="single" w:sz="4" w:space="0" w:color="auto"/>
              <w:right w:val="single" w:sz="4" w:space="0" w:color="auto"/>
            </w:tcBorders>
            <w:shd w:val="clear" w:color="auto" w:fill="auto"/>
            <w:noWrap/>
            <w:vAlign w:val="bottom"/>
            <w:hideMark/>
          </w:tcPr>
          <w:p w14:paraId="44CF6B0F"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44B0061"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0.7%</w:t>
            </w:r>
          </w:p>
        </w:tc>
        <w:tc>
          <w:tcPr>
            <w:tcW w:w="2080" w:type="dxa"/>
            <w:tcBorders>
              <w:top w:val="nil"/>
              <w:left w:val="nil"/>
              <w:bottom w:val="single" w:sz="4" w:space="0" w:color="auto"/>
              <w:right w:val="single" w:sz="4" w:space="0" w:color="auto"/>
            </w:tcBorders>
            <w:shd w:val="clear" w:color="auto" w:fill="auto"/>
            <w:noWrap/>
            <w:vAlign w:val="bottom"/>
            <w:hideMark/>
          </w:tcPr>
          <w:p w14:paraId="2C5A7297"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0.007132584</w:t>
            </w:r>
          </w:p>
        </w:tc>
      </w:tr>
      <w:tr w:rsidR="007A668C" w14:paraId="6052552B" w14:textId="77777777" w:rsidTr="00F94995">
        <w:trPr>
          <w:trHeight w:val="300"/>
        </w:trPr>
        <w:tc>
          <w:tcPr>
            <w:tcW w:w="2706" w:type="dxa"/>
            <w:tcBorders>
              <w:top w:val="nil"/>
              <w:left w:val="single" w:sz="4" w:space="0" w:color="auto"/>
              <w:bottom w:val="single" w:sz="4" w:space="0" w:color="auto"/>
              <w:right w:val="single" w:sz="4" w:space="0" w:color="auto"/>
            </w:tcBorders>
            <w:shd w:val="clear" w:color="auto" w:fill="auto"/>
            <w:noWrap/>
            <w:vAlign w:val="bottom"/>
            <w:hideMark/>
          </w:tcPr>
          <w:p w14:paraId="5ECDBAF1"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Stabilized Vacancy</w:t>
            </w:r>
          </w:p>
        </w:tc>
        <w:tc>
          <w:tcPr>
            <w:tcW w:w="1300" w:type="dxa"/>
            <w:tcBorders>
              <w:top w:val="nil"/>
              <w:left w:val="nil"/>
              <w:bottom w:val="single" w:sz="4" w:space="0" w:color="auto"/>
              <w:right w:val="single" w:sz="4" w:space="0" w:color="auto"/>
            </w:tcBorders>
            <w:shd w:val="clear" w:color="auto" w:fill="auto"/>
            <w:noWrap/>
            <w:vAlign w:val="bottom"/>
            <w:hideMark/>
          </w:tcPr>
          <w:p w14:paraId="1589A4F7"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5.0%</w:t>
            </w:r>
          </w:p>
        </w:tc>
        <w:tc>
          <w:tcPr>
            <w:tcW w:w="1300" w:type="dxa"/>
            <w:tcBorders>
              <w:top w:val="nil"/>
              <w:left w:val="nil"/>
              <w:bottom w:val="single" w:sz="4" w:space="0" w:color="auto"/>
              <w:right w:val="single" w:sz="4" w:space="0" w:color="auto"/>
            </w:tcBorders>
            <w:shd w:val="clear" w:color="auto" w:fill="auto"/>
            <w:noWrap/>
            <w:vAlign w:val="bottom"/>
            <w:hideMark/>
          </w:tcPr>
          <w:p w14:paraId="5C8A6368"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4.9%</w:t>
            </w:r>
          </w:p>
        </w:tc>
        <w:tc>
          <w:tcPr>
            <w:tcW w:w="2080" w:type="dxa"/>
            <w:tcBorders>
              <w:top w:val="nil"/>
              <w:left w:val="nil"/>
              <w:bottom w:val="single" w:sz="4" w:space="0" w:color="auto"/>
              <w:right w:val="single" w:sz="4" w:space="0" w:color="auto"/>
            </w:tcBorders>
            <w:shd w:val="clear" w:color="auto" w:fill="auto"/>
            <w:noWrap/>
            <w:vAlign w:val="bottom"/>
            <w:hideMark/>
          </w:tcPr>
          <w:p w14:paraId="44147827"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0.005116383</w:t>
            </w:r>
          </w:p>
        </w:tc>
      </w:tr>
      <w:tr w:rsidR="007A668C" w14:paraId="6AC4E1EA" w14:textId="77777777" w:rsidTr="00F94995">
        <w:trPr>
          <w:trHeight w:val="300"/>
        </w:trPr>
        <w:tc>
          <w:tcPr>
            <w:tcW w:w="2706" w:type="dxa"/>
            <w:tcBorders>
              <w:top w:val="nil"/>
              <w:left w:val="single" w:sz="4" w:space="0" w:color="auto"/>
              <w:bottom w:val="nil"/>
              <w:right w:val="single" w:sz="4" w:space="0" w:color="auto"/>
            </w:tcBorders>
            <w:shd w:val="clear" w:color="auto" w:fill="auto"/>
            <w:noWrap/>
            <w:vAlign w:val="bottom"/>
            <w:hideMark/>
          </w:tcPr>
          <w:p w14:paraId="519A4D21" w14:textId="77777777" w:rsidR="007A668C" w:rsidRDefault="007A668C" w:rsidP="00F94995">
            <w:pPr>
              <w:rPr>
                <w:rFonts w:ascii="Calibri" w:hAnsi="Calibri" w:cs="Calibri"/>
                <w:color w:val="000000"/>
                <w:sz w:val="22"/>
                <w:szCs w:val="22"/>
              </w:rPr>
            </w:pPr>
            <w:r>
              <w:rPr>
                <w:rFonts w:ascii="Calibri" w:hAnsi="Calibri" w:cs="Calibri"/>
                <w:color w:val="000000"/>
                <w:sz w:val="22"/>
                <w:szCs w:val="22"/>
              </w:rPr>
              <w:t>Appreciation Return</w:t>
            </w:r>
          </w:p>
        </w:tc>
        <w:tc>
          <w:tcPr>
            <w:tcW w:w="1300" w:type="dxa"/>
            <w:tcBorders>
              <w:top w:val="nil"/>
              <w:left w:val="nil"/>
              <w:bottom w:val="nil"/>
              <w:right w:val="single" w:sz="4" w:space="0" w:color="auto"/>
            </w:tcBorders>
            <w:shd w:val="clear" w:color="auto" w:fill="auto"/>
            <w:noWrap/>
            <w:vAlign w:val="bottom"/>
            <w:hideMark/>
          </w:tcPr>
          <w:p w14:paraId="278DC428"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0.01353488</w:t>
            </w:r>
          </w:p>
        </w:tc>
        <w:tc>
          <w:tcPr>
            <w:tcW w:w="1300" w:type="dxa"/>
            <w:tcBorders>
              <w:top w:val="nil"/>
              <w:left w:val="nil"/>
              <w:bottom w:val="nil"/>
              <w:right w:val="single" w:sz="4" w:space="0" w:color="auto"/>
            </w:tcBorders>
            <w:shd w:val="clear" w:color="auto" w:fill="auto"/>
            <w:noWrap/>
            <w:vAlign w:val="bottom"/>
            <w:hideMark/>
          </w:tcPr>
          <w:p w14:paraId="04AAEBDB"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2.8%</w:t>
            </w:r>
          </w:p>
        </w:tc>
        <w:tc>
          <w:tcPr>
            <w:tcW w:w="2080" w:type="dxa"/>
            <w:tcBorders>
              <w:top w:val="nil"/>
              <w:left w:val="nil"/>
              <w:bottom w:val="nil"/>
              <w:right w:val="single" w:sz="4" w:space="0" w:color="auto"/>
            </w:tcBorders>
            <w:shd w:val="clear" w:color="auto" w:fill="auto"/>
            <w:noWrap/>
            <w:vAlign w:val="bottom"/>
            <w:hideMark/>
          </w:tcPr>
          <w:p w14:paraId="2C26E250" w14:textId="77777777" w:rsidR="007A668C" w:rsidRDefault="007A668C" w:rsidP="00F94995">
            <w:pPr>
              <w:jc w:val="right"/>
              <w:rPr>
                <w:rFonts w:ascii="Calibri" w:hAnsi="Calibri" w:cs="Calibri"/>
                <w:color w:val="000000"/>
                <w:sz w:val="22"/>
                <w:szCs w:val="22"/>
              </w:rPr>
            </w:pPr>
            <w:r>
              <w:rPr>
                <w:rFonts w:ascii="Calibri" w:hAnsi="Calibri" w:cs="Calibri"/>
                <w:color w:val="000000"/>
                <w:sz w:val="22"/>
                <w:szCs w:val="22"/>
              </w:rPr>
              <w:t>0.062890816</w:t>
            </w:r>
          </w:p>
        </w:tc>
      </w:tr>
      <w:tr w:rsidR="007A668C" w14:paraId="2AB65993" w14:textId="77777777" w:rsidTr="00F94995">
        <w:trPr>
          <w:trHeight w:val="300"/>
        </w:trPr>
        <w:tc>
          <w:tcPr>
            <w:tcW w:w="2706" w:type="dxa"/>
            <w:tcBorders>
              <w:top w:val="nil"/>
              <w:left w:val="single" w:sz="4" w:space="0" w:color="auto"/>
              <w:bottom w:val="single" w:sz="4" w:space="0" w:color="auto"/>
              <w:right w:val="single" w:sz="4" w:space="0" w:color="auto"/>
            </w:tcBorders>
            <w:shd w:val="clear" w:color="auto" w:fill="auto"/>
            <w:noWrap/>
            <w:vAlign w:val="bottom"/>
          </w:tcPr>
          <w:p w14:paraId="1E1BB975" w14:textId="77777777" w:rsidR="007A668C" w:rsidRDefault="007A668C" w:rsidP="00F94995">
            <w:pPr>
              <w:rPr>
                <w:rFonts w:ascii="Calibri" w:hAnsi="Calibri" w:cs="Calibri"/>
                <w:color w:val="000000"/>
                <w:sz w:val="22"/>
                <w:szCs w:val="22"/>
              </w:rPr>
            </w:pPr>
          </w:p>
        </w:tc>
        <w:tc>
          <w:tcPr>
            <w:tcW w:w="1300" w:type="dxa"/>
            <w:tcBorders>
              <w:top w:val="nil"/>
              <w:left w:val="nil"/>
              <w:bottom w:val="single" w:sz="4" w:space="0" w:color="auto"/>
              <w:right w:val="single" w:sz="4" w:space="0" w:color="auto"/>
            </w:tcBorders>
            <w:shd w:val="clear" w:color="auto" w:fill="auto"/>
            <w:noWrap/>
            <w:vAlign w:val="bottom"/>
          </w:tcPr>
          <w:p w14:paraId="28A6831D" w14:textId="77777777" w:rsidR="007A668C" w:rsidRDefault="007A668C" w:rsidP="00F94995">
            <w:pPr>
              <w:jc w:val="right"/>
              <w:rPr>
                <w:rFonts w:ascii="Calibri" w:hAnsi="Calibri" w:cs="Calibri"/>
                <w:color w:val="000000"/>
                <w:sz w:val="22"/>
                <w:szCs w:val="22"/>
              </w:rPr>
            </w:pPr>
          </w:p>
        </w:tc>
        <w:tc>
          <w:tcPr>
            <w:tcW w:w="1300" w:type="dxa"/>
            <w:tcBorders>
              <w:top w:val="nil"/>
              <w:left w:val="nil"/>
              <w:bottom w:val="single" w:sz="4" w:space="0" w:color="auto"/>
              <w:right w:val="single" w:sz="4" w:space="0" w:color="auto"/>
            </w:tcBorders>
            <w:shd w:val="clear" w:color="auto" w:fill="auto"/>
            <w:noWrap/>
            <w:vAlign w:val="bottom"/>
          </w:tcPr>
          <w:p w14:paraId="1700BF90" w14:textId="77777777" w:rsidR="007A668C" w:rsidRDefault="007A668C" w:rsidP="00F94995">
            <w:pPr>
              <w:jc w:val="right"/>
              <w:rPr>
                <w:rFonts w:ascii="Calibri" w:hAnsi="Calibri" w:cs="Calibri"/>
                <w:color w:val="000000"/>
                <w:sz w:val="22"/>
                <w:szCs w:val="22"/>
              </w:rPr>
            </w:pPr>
          </w:p>
        </w:tc>
        <w:tc>
          <w:tcPr>
            <w:tcW w:w="2080" w:type="dxa"/>
            <w:tcBorders>
              <w:top w:val="nil"/>
              <w:left w:val="nil"/>
              <w:bottom w:val="single" w:sz="4" w:space="0" w:color="auto"/>
              <w:right w:val="single" w:sz="4" w:space="0" w:color="auto"/>
            </w:tcBorders>
            <w:shd w:val="clear" w:color="auto" w:fill="auto"/>
            <w:noWrap/>
            <w:vAlign w:val="bottom"/>
          </w:tcPr>
          <w:p w14:paraId="12C1AA7E" w14:textId="77777777" w:rsidR="007A668C" w:rsidRDefault="007A668C" w:rsidP="00F94995">
            <w:pPr>
              <w:jc w:val="right"/>
              <w:rPr>
                <w:rFonts w:ascii="Calibri" w:hAnsi="Calibri" w:cs="Calibri"/>
                <w:color w:val="000000"/>
                <w:sz w:val="22"/>
                <w:szCs w:val="22"/>
              </w:rPr>
            </w:pPr>
          </w:p>
        </w:tc>
      </w:tr>
    </w:tbl>
    <w:p w14:paraId="3117D6B2" w14:textId="7EBA4ACF" w:rsidR="007A668C" w:rsidRDefault="007A668C" w:rsidP="003F5D06">
      <w:pPr>
        <w:pStyle w:val="ListParagraph"/>
        <w:spacing w:line="360" w:lineRule="auto"/>
        <w:jc w:val="center"/>
        <w:rPr>
          <w:rFonts w:ascii="Times" w:hAnsi="Times"/>
        </w:rPr>
      </w:pPr>
      <w:r>
        <w:rPr>
          <w:rFonts w:ascii="Times" w:hAnsi="Times"/>
        </w:rPr>
        <w:t xml:space="preserve">Table 2_Minneapolis from </w:t>
      </w:r>
      <w:r>
        <w:rPr>
          <w:rFonts w:ascii="Times" w:hAnsi="Times"/>
        </w:rPr>
        <w:t>2014 Q1 to 2024 Q3</w:t>
      </w:r>
    </w:p>
    <w:p w14:paraId="76EF5A46" w14:textId="77777777" w:rsidR="003F5D06" w:rsidRPr="00914913" w:rsidRDefault="003F5D06" w:rsidP="003F5D06">
      <w:pPr>
        <w:spacing w:line="480" w:lineRule="auto"/>
        <w:jc w:val="both"/>
        <w:rPr>
          <w:rFonts w:ascii="Times" w:hAnsi="Times"/>
        </w:rPr>
      </w:pPr>
      <w:r w:rsidRPr="00914913">
        <w:rPr>
          <w:rFonts w:ascii="Times" w:hAnsi="Times"/>
        </w:rPr>
        <w:t xml:space="preserve">Moreover, based on the graph shown in </w:t>
      </w:r>
      <w:r>
        <w:rPr>
          <w:rFonts w:ascii="Times" w:hAnsi="Times"/>
        </w:rPr>
        <w:t>F</w:t>
      </w:r>
      <w:r w:rsidRPr="00914913">
        <w:rPr>
          <w:rFonts w:ascii="Times" w:hAnsi="Times"/>
        </w:rPr>
        <w:t xml:space="preserve">igure 13, with </w:t>
      </w:r>
      <w:r>
        <w:rPr>
          <w:rFonts w:ascii="Times" w:hAnsi="Times"/>
        </w:rPr>
        <w:t xml:space="preserve">the </w:t>
      </w:r>
      <w:r w:rsidRPr="00914913">
        <w:rPr>
          <w:rFonts w:ascii="Times" w:hAnsi="Times"/>
        </w:rPr>
        <w:t>median absorption rate, Minneapolis has 0.7%</w:t>
      </w:r>
      <w:r>
        <w:rPr>
          <w:rFonts w:ascii="Times" w:hAnsi="Times"/>
        </w:rPr>
        <w:t>, which</w:t>
      </w:r>
      <w:r w:rsidRPr="00914913">
        <w:rPr>
          <w:rFonts w:ascii="Times" w:hAnsi="Times"/>
        </w:rPr>
        <w:t xml:space="preserve"> is higher than Milwaukee with 0.6%. This suggest</w:t>
      </w:r>
      <w:r>
        <w:rPr>
          <w:rFonts w:ascii="Times" w:hAnsi="Times"/>
        </w:rPr>
        <w:t>s</w:t>
      </w:r>
      <w:r w:rsidRPr="00914913">
        <w:rPr>
          <w:rFonts w:ascii="Times" w:hAnsi="Times"/>
        </w:rPr>
        <w:t xml:space="preserve"> that units in Minneapolis were being rented out more quickly compared to Milwaukee.</w:t>
      </w:r>
    </w:p>
    <w:p w14:paraId="576722BE" w14:textId="77777777" w:rsidR="003F5D06" w:rsidRPr="00D92149" w:rsidRDefault="003F5D06" w:rsidP="003F5D06">
      <w:pPr>
        <w:pStyle w:val="ListParagraph"/>
        <w:spacing w:line="360" w:lineRule="auto"/>
        <w:rPr>
          <w:rFonts w:ascii="Times" w:hAnsi="Times"/>
        </w:rPr>
      </w:pPr>
    </w:p>
    <w:p w14:paraId="2AACC1D8" w14:textId="77777777" w:rsidR="003F5D06" w:rsidRDefault="003F5D06" w:rsidP="003F5D06">
      <w:pPr>
        <w:pStyle w:val="ListParagraph"/>
        <w:spacing w:line="360" w:lineRule="auto"/>
        <w:jc w:val="both"/>
        <w:rPr>
          <w:rFonts w:ascii="Times" w:hAnsi="Times"/>
          <w:b/>
          <w:bCs/>
        </w:rPr>
      </w:pPr>
      <w:r>
        <w:rPr>
          <w:rFonts w:ascii="Times" w:hAnsi="Times"/>
          <w:b/>
          <w:bCs/>
          <w:noProof/>
        </w:rPr>
        <w:drawing>
          <wp:inline distT="0" distB="0" distL="0" distR="0" wp14:anchorId="4A61EEA7" wp14:editId="2A0D6412">
            <wp:extent cx="4775104" cy="3608962"/>
            <wp:effectExtent l="0" t="0" r="635" b="0"/>
            <wp:docPr id="737719048" name="Picture 3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19048" name="Picture 37" descr="A graph of different colored lines&#10;&#10;Description automatically generated"/>
                    <pic:cNvPicPr/>
                  </pic:nvPicPr>
                  <pic:blipFill>
                    <a:blip r:embed="rId22"/>
                    <a:stretch>
                      <a:fillRect/>
                    </a:stretch>
                  </pic:blipFill>
                  <pic:spPr>
                    <a:xfrm>
                      <a:off x="0" y="0"/>
                      <a:ext cx="4790337" cy="3620475"/>
                    </a:xfrm>
                    <a:prstGeom prst="rect">
                      <a:avLst/>
                    </a:prstGeom>
                  </pic:spPr>
                </pic:pic>
              </a:graphicData>
            </a:graphic>
          </wp:inline>
        </w:drawing>
      </w:r>
    </w:p>
    <w:p w14:paraId="409547BF" w14:textId="77777777" w:rsidR="003F5D06" w:rsidRPr="00D92149" w:rsidRDefault="003F5D06" w:rsidP="003F5D06">
      <w:pPr>
        <w:pStyle w:val="ListParagraph"/>
        <w:spacing w:line="360" w:lineRule="auto"/>
        <w:jc w:val="center"/>
        <w:rPr>
          <w:rFonts w:ascii="Times" w:hAnsi="Times"/>
        </w:rPr>
      </w:pPr>
      <w:r w:rsidRPr="00D92149">
        <w:rPr>
          <w:rFonts w:ascii="Times" w:hAnsi="Times"/>
        </w:rPr>
        <w:t>Figure 13- Past period _Absorption Rate %</w:t>
      </w:r>
    </w:p>
    <w:p w14:paraId="39EE40C8" w14:textId="77777777" w:rsidR="003F5D06" w:rsidRPr="00914913" w:rsidRDefault="003F5D06" w:rsidP="003F5D06">
      <w:pPr>
        <w:spacing w:line="480" w:lineRule="auto"/>
        <w:jc w:val="both"/>
        <w:rPr>
          <w:rFonts w:ascii="Times" w:hAnsi="Times"/>
        </w:rPr>
      </w:pPr>
      <w:r w:rsidRPr="00914913">
        <w:rPr>
          <w:rFonts w:ascii="Times" w:hAnsi="Times"/>
        </w:rPr>
        <w:t xml:space="preserve">According to the data and trend from this graph (shown in </w:t>
      </w:r>
      <w:r>
        <w:rPr>
          <w:rFonts w:ascii="Times" w:hAnsi="Times"/>
        </w:rPr>
        <w:t>F</w:t>
      </w:r>
      <w:r w:rsidRPr="00914913">
        <w:rPr>
          <w:rFonts w:ascii="Times" w:hAnsi="Times"/>
        </w:rPr>
        <w:t>igure 14), with a Median: of $1,517, Minneapolis has higher rent per unit than Milwaukee, this indicates that a more expensive market that reflects higher demand and income levels.</w:t>
      </w:r>
    </w:p>
    <w:p w14:paraId="0437FCB2" w14:textId="77777777" w:rsidR="003F5D06" w:rsidRDefault="003F5D06" w:rsidP="003F5D06">
      <w:pPr>
        <w:pStyle w:val="ListParagraph"/>
        <w:spacing w:line="480" w:lineRule="auto"/>
        <w:jc w:val="both"/>
        <w:rPr>
          <w:rFonts w:ascii="Times" w:hAnsi="Times"/>
          <w:b/>
          <w:bCs/>
        </w:rPr>
      </w:pPr>
    </w:p>
    <w:p w14:paraId="72E5E971" w14:textId="77777777" w:rsidR="003F5D06" w:rsidRDefault="003F5D06" w:rsidP="003F5D06">
      <w:pPr>
        <w:pStyle w:val="ListParagraph"/>
        <w:spacing w:line="360" w:lineRule="auto"/>
        <w:jc w:val="both"/>
        <w:rPr>
          <w:rFonts w:ascii="Times" w:hAnsi="Times"/>
          <w:b/>
          <w:bCs/>
        </w:rPr>
      </w:pPr>
      <w:r>
        <w:rPr>
          <w:rFonts w:ascii="Times" w:hAnsi="Times"/>
          <w:b/>
          <w:bCs/>
          <w:noProof/>
        </w:rPr>
        <w:lastRenderedPageBreak/>
        <w:drawing>
          <wp:inline distT="0" distB="0" distL="0" distR="0" wp14:anchorId="5EC4D37D" wp14:editId="74BB46D9">
            <wp:extent cx="5398851" cy="4108501"/>
            <wp:effectExtent l="0" t="0" r="0" b="0"/>
            <wp:docPr id="1613152142" name="Picture 42" descr="A graph of a market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2142" name="Picture 42" descr="A graph of a market sales&#10;&#10;Description automatically generated with medium confidence"/>
                    <pic:cNvPicPr/>
                  </pic:nvPicPr>
                  <pic:blipFill>
                    <a:blip r:embed="rId23"/>
                    <a:stretch>
                      <a:fillRect/>
                    </a:stretch>
                  </pic:blipFill>
                  <pic:spPr>
                    <a:xfrm>
                      <a:off x="0" y="0"/>
                      <a:ext cx="5483208" cy="4172696"/>
                    </a:xfrm>
                    <a:prstGeom prst="rect">
                      <a:avLst/>
                    </a:prstGeom>
                  </pic:spPr>
                </pic:pic>
              </a:graphicData>
            </a:graphic>
          </wp:inline>
        </w:drawing>
      </w:r>
    </w:p>
    <w:p w14:paraId="79397767" w14:textId="77777777" w:rsidR="003F5D06" w:rsidRDefault="003F5D06" w:rsidP="003F5D06">
      <w:pPr>
        <w:pStyle w:val="ListParagraph"/>
        <w:spacing w:line="360" w:lineRule="auto"/>
        <w:jc w:val="center"/>
        <w:rPr>
          <w:rFonts w:ascii="Times" w:hAnsi="Times"/>
        </w:rPr>
      </w:pPr>
      <w:r w:rsidRPr="00D92149">
        <w:rPr>
          <w:rFonts w:ascii="Times" w:hAnsi="Times"/>
        </w:rPr>
        <w:t xml:space="preserve">Figure 14-Past </w:t>
      </w:r>
      <w:proofErr w:type="spellStart"/>
      <w:r w:rsidRPr="00D92149">
        <w:rPr>
          <w:rFonts w:ascii="Times" w:hAnsi="Times"/>
        </w:rPr>
        <w:t>period_Market</w:t>
      </w:r>
      <w:proofErr w:type="spellEnd"/>
      <w:r w:rsidRPr="00D92149">
        <w:rPr>
          <w:rFonts w:ascii="Times" w:hAnsi="Times"/>
        </w:rPr>
        <w:t xml:space="preserve"> Asking Rent/Unit</w:t>
      </w:r>
    </w:p>
    <w:p w14:paraId="2CA6A514" w14:textId="77777777" w:rsidR="003F5D06" w:rsidRPr="0021254F" w:rsidRDefault="003F5D06" w:rsidP="003F5D06">
      <w:pPr>
        <w:pStyle w:val="ListParagraph"/>
        <w:spacing w:line="480" w:lineRule="auto"/>
        <w:jc w:val="both"/>
        <w:rPr>
          <w:rFonts w:ascii="Times" w:hAnsi="Times"/>
        </w:rPr>
      </w:pPr>
      <w:r>
        <w:rPr>
          <w:rFonts w:ascii="Times" w:hAnsi="Times"/>
        </w:rPr>
        <w:t xml:space="preserve">From 2014 to Q3, 2024, we also see that Minneapolis's Median of Demand units is 61,541 higher significantly twice compared to Milwaukee (only 38,826) (Shown in figure 15) This </w:t>
      </w:r>
      <w:proofErr w:type="gramStart"/>
      <w:r>
        <w:rPr>
          <w:rFonts w:ascii="Times" w:hAnsi="Times"/>
        </w:rPr>
        <w:t>result</w:t>
      </w:r>
      <w:proofErr w:type="gramEnd"/>
      <w:r>
        <w:rPr>
          <w:rFonts w:ascii="Times" w:hAnsi="Times"/>
        </w:rPr>
        <w:t xml:space="preserve"> highlights a larger rental market and potentially more robust economic conditions driving this demand.</w:t>
      </w:r>
    </w:p>
    <w:p w14:paraId="1017B115" w14:textId="77777777" w:rsidR="003F5D06" w:rsidRPr="00D92149" w:rsidRDefault="003F5D06" w:rsidP="003F5D06">
      <w:pPr>
        <w:pStyle w:val="ListParagraph"/>
        <w:spacing w:line="360" w:lineRule="auto"/>
        <w:rPr>
          <w:rFonts w:ascii="Times" w:hAnsi="Times"/>
        </w:rPr>
      </w:pPr>
    </w:p>
    <w:p w14:paraId="77F12AAC" w14:textId="77777777" w:rsidR="003F5D06" w:rsidRDefault="003F5D06" w:rsidP="003F5D06">
      <w:pPr>
        <w:pStyle w:val="ListParagraph"/>
        <w:spacing w:line="360" w:lineRule="auto"/>
        <w:jc w:val="both"/>
        <w:rPr>
          <w:rFonts w:ascii="Times" w:hAnsi="Times"/>
          <w:b/>
          <w:bCs/>
        </w:rPr>
      </w:pPr>
      <w:r>
        <w:rPr>
          <w:rFonts w:ascii="Times" w:hAnsi="Times"/>
          <w:b/>
          <w:bCs/>
          <w:noProof/>
        </w:rPr>
        <w:lastRenderedPageBreak/>
        <w:drawing>
          <wp:inline distT="0" distB="0" distL="0" distR="0" wp14:anchorId="4E2030D7" wp14:editId="43FE829E">
            <wp:extent cx="4474723" cy="3652803"/>
            <wp:effectExtent l="0" t="0" r="0" b="5080"/>
            <wp:docPr id="607468120" name="Picture 43" descr="A graph showing a number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8120" name="Picture 43" descr="A graph showing a number of different colored squares&#10;&#10;Description automatically generated"/>
                    <pic:cNvPicPr/>
                  </pic:nvPicPr>
                  <pic:blipFill>
                    <a:blip r:embed="rId24"/>
                    <a:stretch>
                      <a:fillRect/>
                    </a:stretch>
                  </pic:blipFill>
                  <pic:spPr>
                    <a:xfrm>
                      <a:off x="0" y="0"/>
                      <a:ext cx="4495288" cy="3669591"/>
                    </a:xfrm>
                    <a:prstGeom prst="rect">
                      <a:avLst/>
                    </a:prstGeom>
                  </pic:spPr>
                </pic:pic>
              </a:graphicData>
            </a:graphic>
          </wp:inline>
        </w:drawing>
      </w:r>
    </w:p>
    <w:p w14:paraId="79FF0397" w14:textId="77777777" w:rsidR="003F5D06" w:rsidRPr="0021254F" w:rsidRDefault="003F5D06" w:rsidP="003F5D06">
      <w:pPr>
        <w:pStyle w:val="ListParagraph"/>
        <w:spacing w:line="360" w:lineRule="auto"/>
        <w:jc w:val="center"/>
        <w:rPr>
          <w:rFonts w:ascii="Times" w:hAnsi="Times"/>
        </w:rPr>
      </w:pPr>
      <w:r w:rsidRPr="0021254F">
        <w:rPr>
          <w:rFonts w:ascii="Times" w:hAnsi="Times"/>
        </w:rPr>
        <w:t>Figure 15 – Past period Demand units</w:t>
      </w:r>
    </w:p>
    <w:p w14:paraId="4739A27A" w14:textId="77777777" w:rsidR="003F5D06" w:rsidRPr="00914913" w:rsidRDefault="003F5D06" w:rsidP="003F5D06">
      <w:pPr>
        <w:spacing w:line="480" w:lineRule="auto"/>
        <w:jc w:val="both"/>
        <w:rPr>
          <w:rFonts w:ascii="Times" w:hAnsi="Times"/>
          <w:b/>
          <w:bCs/>
        </w:rPr>
      </w:pPr>
      <w:r w:rsidRPr="00914913">
        <w:rPr>
          <w:rFonts w:ascii="Times" w:hAnsi="Times"/>
          <w:b/>
          <w:bCs/>
        </w:rPr>
        <w:t>Forecasting:</w:t>
      </w:r>
    </w:p>
    <w:p w14:paraId="091B0E72" w14:textId="621C4A40" w:rsidR="003F5D06" w:rsidRPr="00914913" w:rsidRDefault="003F5D06" w:rsidP="003F5D06">
      <w:pPr>
        <w:spacing w:line="480" w:lineRule="auto"/>
        <w:jc w:val="both"/>
        <w:rPr>
          <w:rFonts w:ascii="Times" w:hAnsi="Times"/>
        </w:rPr>
      </w:pPr>
      <w:r w:rsidRPr="00914913">
        <w:rPr>
          <w:rFonts w:ascii="Times" w:hAnsi="Times"/>
        </w:rPr>
        <w:t>With the chart below (Figure 16</w:t>
      </w:r>
      <w:r w:rsidRPr="00914913">
        <w:rPr>
          <w:rFonts w:ascii="Times" w:hAnsi="Times"/>
          <w:b/>
          <w:bCs/>
        </w:rPr>
        <w:t xml:space="preserve">), </w:t>
      </w:r>
      <w:r w:rsidRPr="00914913">
        <w:rPr>
          <w:rFonts w:ascii="Times" w:hAnsi="Times"/>
        </w:rPr>
        <w:t xml:space="preserve">Minneapolis with a median of Appreciation Return 4.3% </w:t>
      </w:r>
      <w:r w:rsidR="00030DC4">
        <w:rPr>
          <w:rFonts w:ascii="Times" w:hAnsi="Times"/>
        </w:rPr>
        <w:t xml:space="preserve">(shown in table 4) </w:t>
      </w:r>
      <w:r w:rsidRPr="00914913">
        <w:rPr>
          <w:rFonts w:ascii="Times" w:hAnsi="Times"/>
        </w:rPr>
        <w:t>compared to Milwaukee with 4.0%</w:t>
      </w:r>
      <w:r w:rsidR="00030DC4">
        <w:rPr>
          <w:rFonts w:ascii="Times" w:hAnsi="Times"/>
        </w:rPr>
        <w:t xml:space="preserve"> (shown in Table 3).</w:t>
      </w:r>
      <w:r w:rsidRPr="00914913">
        <w:rPr>
          <w:rFonts w:ascii="Times" w:hAnsi="Times"/>
        </w:rPr>
        <w:t xml:space="preserve"> It shows Minneapolis has a higher appreciation return, suggesting this location’s values may increase more rapidly in Minneapolis over the forecast period due to factors such as economic growth and increasing demand.</w:t>
      </w:r>
    </w:p>
    <w:p w14:paraId="6E05E302" w14:textId="77777777" w:rsidR="003F5D06" w:rsidRDefault="003F5D06" w:rsidP="003F5D06">
      <w:pPr>
        <w:pStyle w:val="ListParagraph"/>
        <w:spacing w:line="360" w:lineRule="auto"/>
        <w:jc w:val="both"/>
        <w:rPr>
          <w:rFonts w:ascii="Times" w:hAnsi="Times"/>
          <w:b/>
          <w:bCs/>
        </w:rPr>
      </w:pPr>
      <w:r>
        <w:rPr>
          <w:rFonts w:ascii="Times" w:hAnsi="Times"/>
          <w:b/>
          <w:bCs/>
          <w:noProof/>
        </w:rPr>
        <w:lastRenderedPageBreak/>
        <w:drawing>
          <wp:inline distT="0" distB="0" distL="0" distR="0" wp14:anchorId="15E5D16D" wp14:editId="2C9FF6E6">
            <wp:extent cx="5486400" cy="3801745"/>
            <wp:effectExtent l="0" t="0" r="0" b="0"/>
            <wp:docPr id="1786381258" name="Picture 44" descr="A graph showing the growth of the return of th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1258" name="Picture 44" descr="A graph showing the growth of the return of the company&#10;&#10;Description automatically generated"/>
                    <pic:cNvPicPr/>
                  </pic:nvPicPr>
                  <pic:blipFill>
                    <a:blip r:embed="rId25"/>
                    <a:stretch>
                      <a:fillRect/>
                    </a:stretch>
                  </pic:blipFill>
                  <pic:spPr>
                    <a:xfrm>
                      <a:off x="0" y="0"/>
                      <a:ext cx="5486400" cy="3801745"/>
                    </a:xfrm>
                    <a:prstGeom prst="rect">
                      <a:avLst/>
                    </a:prstGeom>
                  </pic:spPr>
                </pic:pic>
              </a:graphicData>
            </a:graphic>
          </wp:inline>
        </w:drawing>
      </w:r>
    </w:p>
    <w:p w14:paraId="72E2BB62" w14:textId="77777777" w:rsidR="003F5D06" w:rsidRPr="0021254F" w:rsidRDefault="003F5D06" w:rsidP="003F5D06">
      <w:pPr>
        <w:pStyle w:val="ListParagraph"/>
        <w:spacing w:line="360" w:lineRule="auto"/>
        <w:jc w:val="center"/>
        <w:rPr>
          <w:rFonts w:ascii="Times" w:hAnsi="Times"/>
        </w:rPr>
      </w:pPr>
      <w:r w:rsidRPr="0021254F">
        <w:rPr>
          <w:rFonts w:ascii="Times" w:hAnsi="Times"/>
        </w:rPr>
        <w:t xml:space="preserve">Figure 16 – </w:t>
      </w:r>
      <w:proofErr w:type="spellStart"/>
      <w:r w:rsidRPr="0021254F">
        <w:rPr>
          <w:rFonts w:ascii="Times" w:hAnsi="Times"/>
        </w:rPr>
        <w:t>Forcasting_Appreciation</w:t>
      </w:r>
      <w:proofErr w:type="spellEnd"/>
      <w:r w:rsidRPr="0021254F">
        <w:rPr>
          <w:rFonts w:ascii="Times" w:hAnsi="Times"/>
        </w:rPr>
        <w:t xml:space="preserve"> Return</w:t>
      </w:r>
    </w:p>
    <w:p w14:paraId="7F3BA1F3" w14:textId="77777777" w:rsidR="003F5D06" w:rsidRPr="00914913" w:rsidRDefault="003F5D06" w:rsidP="003F5D06">
      <w:pPr>
        <w:spacing w:line="360" w:lineRule="auto"/>
        <w:jc w:val="both"/>
        <w:rPr>
          <w:rFonts w:ascii="Times" w:hAnsi="Times"/>
        </w:rPr>
      </w:pPr>
    </w:p>
    <w:p w14:paraId="2DC0D127" w14:textId="77777777" w:rsidR="003F5D06" w:rsidRDefault="003F5D06" w:rsidP="003F5D06">
      <w:pPr>
        <w:spacing w:line="480" w:lineRule="auto"/>
        <w:jc w:val="both"/>
        <w:rPr>
          <w:rFonts w:ascii="Times" w:hAnsi="Times"/>
        </w:rPr>
      </w:pPr>
      <w:r w:rsidRPr="00914913">
        <w:rPr>
          <w:rFonts w:ascii="Times" w:hAnsi="Times"/>
        </w:rPr>
        <w:t>With the forecasting of demand units across both market</w:t>
      </w:r>
      <w:r>
        <w:rPr>
          <w:rFonts w:ascii="Times" w:hAnsi="Times"/>
        </w:rPr>
        <w:t>s</w:t>
      </w:r>
      <w:r w:rsidRPr="00914913">
        <w:rPr>
          <w:rFonts w:ascii="Times" w:hAnsi="Times"/>
        </w:rPr>
        <w:t xml:space="preserve"> (Figure 17), the median of demand units is significantly higher in Minneapolis (93,268) and expected </w:t>
      </w:r>
      <w:r>
        <w:rPr>
          <w:rFonts w:ascii="Times" w:hAnsi="Times"/>
        </w:rPr>
        <w:t>to increase</w:t>
      </w:r>
      <w:r w:rsidRPr="00914913">
        <w:rPr>
          <w:rFonts w:ascii="Times" w:hAnsi="Times"/>
        </w:rPr>
        <w:t xml:space="preserve"> steadily until 2029 Q1 while Milwaukee is expected to remain around 48,954. This indicates that Minneapolis has a larger rental market and potentially more robust economic conditions driving this demand.</w:t>
      </w:r>
    </w:p>
    <w:p w14:paraId="5BDB4420" w14:textId="17622042" w:rsidR="00030DC4" w:rsidRDefault="00030DC4" w:rsidP="00030DC4">
      <w:pPr>
        <w:pStyle w:val="ListParagraph"/>
        <w:spacing w:line="360" w:lineRule="auto"/>
        <w:jc w:val="both"/>
        <w:rPr>
          <w:rFonts w:ascii="Times" w:hAnsi="Times"/>
        </w:rPr>
      </w:pPr>
      <w:r>
        <w:rPr>
          <w:rFonts w:ascii="Times" w:hAnsi="Times"/>
        </w:rPr>
        <w:t xml:space="preserve">Forecasting period from Q4/2024 </w:t>
      </w:r>
      <w:r w:rsidRPr="0020272F">
        <w:rPr>
          <w:rFonts w:ascii="Times" w:hAnsi="Times"/>
          <w:color w:val="000000" w:themeColor="text1"/>
        </w:rPr>
        <w:t>to Q</w:t>
      </w:r>
      <w:r>
        <w:rPr>
          <w:rFonts w:ascii="Times" w:hAnsi="Times"/>
          <w:color w:val="000000" w:themeColor="text1"/>
        </w:rPr>
        <w:t>4</w:t>
      </w:r>
      <w:r w:rsidRPr="0020272F">
        <w:rPr>
          <w:rFonts w:ascii="Times" w:hAnsi="Times"/>
          <w:color w:val="000000" w:themeColor="text1"/>
        </w:rPr>
        <w:t>/202</w:t>
      </w:r>
      <w:r>
        <w:rPr>
          <w:rFonts w:ascii="Times" w:hAnsi="Times"/>
          <w:color w:val="000000" w:themeColor="text1"/>
        </w:rPr>
        <w:t>8</w:t>
      </w:r>
    </w:p>
    <w:tbl>
      <w:tblPr>
        <w:tblW w:w="7660" w:type="dxa"/>
        <w:tblLook w:val="04A0" w:firstRow="1" w:lastRow="0" w:firstColumn="1" w:lastColumn="0" w:noHBand="0" w:noVBand="1"/>
      </w:tblPr>
      <w:tblGrid>
        <w:gridCol w:w="2820"/>
        <w:gridCol w:w="1300"/>
        <w:gridCol w:w="1300"/>
        <w:gridCol w:w="2240"/>
      </w:tblGrid>
      <w:tr w:rsidR="00030DC4" w14:paraId="3A6E1D30" w14:textId="77777777" w:rsidTr="00F94995">
        <w:trPr>
          <w:trHeight w:val="300"/>
        </w:trPr>
        <w:tc>
          <w:tcPr>
            <w:tcW w:w="2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15546" w14:textId="77777777" w:rsidR="00030DC4" w:rsidRDefault="00030DC4" w:rsidP="00F94995">
            <w:pPr>
              <w:rPr>
                <w:rFonts w:ascii="Calibri" w:hAnsi="Calibri" w:cs="Calibri"/>
                <w:b/>
                <w:bCs/>
                <w:color w:val="000000"/>
                <w:sz w:val="22"/>
                <w:szCs w:val="22"/>
              </w:rPr>
            </w:pPr>
            <w:r>
              <w:rPr>
                <w:rFonts w:ascii="Calibri" w:hAnsi="Calibri" w:cs="Calibri"/>
                <w:b/>
                <w:bCs/>
                <w:color w:val="000000"/>
                <w:sz w:val="22"/>
                <w:szCs w:val="22"/>
              </w:rPr>
              <w:t>Milwaukee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AC10325" w14:textId="77777777" w:rsidR="00030DC4" w:rsidRDefault="00030DC4" w:rsidP="00F94995">
            <w:pPr>
              <w:rPr>
                <w:rFonts w:ascii="Calibri" w:hAnsi="Calibri" w:cs="Calibri"/>
                <w:b/>
                <w:bCs/>
                <w:color w:val="000000"/>
                <w:sz w:val="22"/>
                <w:szCs w:val="22"/>
              </w:rPr>
            </w:pPr>
            <w:r>
              <w:rPr>
                <w:rFonts w:ascii="Calibri" w:hAnsi="Calibri" w:cs="Calibri"/>
                <w:b/>
                <w:bCs/>
                <w:color w:val="000000"/>
                <w:sz w:val="22"/>
                <w:szCs w:val="22"/>
              </w:rPr>
              <w:t>Mean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9A27C6E" w14:textId="77777777" w:rsidR="00030DC4" w:rsidRDefault="00030DC4" w:rsidP="00F94995">
            <w:pPr>
              <w:rPr>
                <w:rFonts w:ascii="Calibri" w:hAnsi="Calibri" w:cs="Calibri"/>
                <w:b/>
                <w:bCs/>
                <w:color w:val="000000"/>
                <w:sz w:val="22"/>
                <w:szCs w:val="22"/>
              </w:rPr>
            </w:pPr>
            <w:r>
              <w:rPr>
                <w:rFonts w:ascii="Calibri" w:hAnsi="Calibri" w:cs="Calibri"/>
                <w:b/>
                <w:bCs/>
                <w:color w:val="000000"/>
                <w:sz w:val="22"/>
                <w:szCs w:val="22"/>
              </w:rPr>
              <w:t>Median</w:t>
            </w:r>
          </w:p>
        </w:tc>
        <w:tc>
          <w:tcPr>
            <w:tcW w:w="2240" w:type="dxa"/>
            <w:tcBorders>
              <w:top w:val="single" w:sz="4" w:space="0" w:color="auto"/>
              <w:left w:val="nil"/>
              <w:bottom w:val="single" w:sz="4" w:space="0" w:color="auto"/>
              <w:right w:val="single" w:sz="4" w:space="0" w:color="auto"/>
            </w:tcBorders>
            <w:shd w:val="clear" w:color="auto" w:fill="auto"/>
            <w:noWrap/>
            <w:vAlign w:val="bottom"/>
            <w:hideMark/>
          </w:tcPr>
          <w:p w14:paraId="198C6792" w14:textId="77777777" w:rsidR="00030DC4" w:rsidRDefault="00030DC4" w:rsidP="00F94995">
            <w:pPr>
              <w:rPr>
                <w:rFonts w:ascii="Calibri" w:hAnsi="Calibri" w:cs="Calibri"/>
                <w:b/>
                <w:bCs/>
                <w:color w:val="000000"/>
                <w:sz w:val="22"/>
                <w:szCs w:val="22"/>
              </w:rPr>
            </w:pPr>
            <w:r>
              <w:rPr>
                <w:rFonts w:ascii="Calibri" w:hAnsi="Calibri" w:cs="Calibri"/>
                <w:b/>
                <w:bCs/>
                <w:color w:val="000000"/>
                <w:sz w:val="22"/>
                <w:szCs w:val="22"/>
              </w:rPr>
              <w:t>Standard Deviation</w:t>
            </w:r>
          </w:p>
        </w:tc>
      </w:tr>
      <w:tr w:rsidR="00030DC4" w14:paraId="6ABDF128"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D62896A"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Market Asking Rent Growth</w:t>
            </w:r>
          </w:p>
        </w:tc>
        <w:tc>
          <w:tcPr>
            <w:tcW w:w="1300" w:type="dxa"/>
            <w:tcBorders>
              <w:top w:val="nil"/>
              <w:left w:val="nil"/>
              <w:bottom w:val="single" w:sz="4" w:space="0" w:color="auto"/>
              <w:right w:val="single" w:sz="4" w:space="0" w:color="auto"/>
            </w:tcBorders>
            <w:shd w:val="clear" w:color="auto" w:fill="auto"/>
            <w:noWrap/>
            <w:vAlign w:val="bottom"/>
            <w:hideMark/>
          </w:tcPr>
          <w:p w14:paraId="383E6C38"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0.8%</w:t>
            </w:r>
          </w:p>
        </w:tc>
        <w:tc>
          <w:tcPr>
            <w:tcW w:w="1300" w:type="dxa"/>
            <w:tcBorders>
              <w:top w:val="nil"/>
              <w:left w:val="nil"/>
              <w:bottom w:val="single" w:sz="4" w:space="0" w:color="auto"/>
              <w:right w:val="single" w:sz="4" w:space="0" w:color="auto"/>
            </w:tcBorders>
            <w:shd w:val="clear" w:color="auto" w:fill="auto"/>
            <w:noWrap/>
            <w:vAlign w:val="bottom"/>
            <w:hideMark/>
          </w:tcPr>
          <w:p w14:paraId="4DCA6979"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0.7%</w:t>
            </w:r>
          </w:p>
        </w:tc>
        <w:tc>
          <w:tcPr>
            <w:tcW w:w="2240" w:type="dxa"/>
            <w:tcBorders>
              <w:top w:val="nil"/>
              <w:left w:val="nil"/>
              <w:bottom w:val="single" w:sz="4" w:space="0" w:color="auto"/>
              <w:right w:val="single" w:sz="4" w:space="0" w:color="auto"/>
            </w:tcBorders>
            <w:shd w:val="clear" w:color="auto" w:fill="auto"/>
            <w:noWrap/>
            <w:vAlign w:val="bottom"/>
            <w:hideMark/>
          </w:tcPr>
          <w:p w14:paraId="693D2B95"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0.007403929</w:t>
            </w:r>
          </w:p>
        </w:tc>
      </w:tr>
      <w:tr w:rsidR="00030DC4" w14:paraId="73191268"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3D9794E"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Market Asking Rent/Unit</w:t>
            </w:r>
          </w:p>
        </w:tc>
        <w:tc>
          <w:tcPr>
            <w:tcW w:w="1300" w:type="dxa"/>
            <w:tcBorders>
              <w:top w:val="nil"/>
              <w:left w:val="nil"/>
              <w:bottom w:val="single" w:sz="4" w:space="0" w:color="auto"/>
              <w:right w:val="single" w:sz="4" w:space="0" w:color="auto"/>
            </w:tcBorders>
            <w:shd w:val="clear" w:color="auto" w:fill="auto"/>
            <w:noWrap/>
            <w:vAlign w:val="bottom"/>
            <w:hideMark/>
          </w:tcPr>
          <w:p w14:paraId="190F5CC9"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$1,656</w:t>
            </w:r>
          </w:p>
        </w:tc>
        <w:tc>
          <w:tcPr>
            <w:tcW w:w="1300" w:type="dxa"/>
            <w:tcBorders>
              <w:top w:val="nil"/>
              <w:left w:val="nil"/>
              <w:bottom w:val="single" w:sz="4" w:space="0" w:color="auto"/>
              <w:right w:val="single" w:sz="4" w:space="0" w:color="auto"/>
            </w:tcBorders>
            <w:shd w:val="clear" w:color="auto" w:fill="auto"/>
            <w:noWrap/>
            <w:vAlign w:val="bottom"/>
            <w:hideMark/>
          </w:tcPr>
          <w:p w14:paraId="7D674E60"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$1,660</w:t>
            </w:r>
          </w:p>
        </w:tc>
        <w:tc>
          <w:tcPr>
            <w:tcW w:w="2240" w:type="dxa"/>
            <w:tcBorders>
              <w:top w:val="nil"/>
              <w:left w:val="nil"/>
              <w:bottom w:val="single" w:sz="4" w:space="0" w:color="auto"/>
              <w:right w:val="single" w:sz="4" w:space="0" w:color="auto"/>
            </w:tcBorders>
            <w:shd w:val="clear" w:color="auto" w:fill="auto"/>
            <w:noWrap/>
            <w:vAlign w:val="bottom"/>
            <w:hideMark/>
          </w:tcPr>
          <w:p w14:paraId="7F36C463"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67.65839698</w:t>
            </w:r>
          </w:p>
        </w:tc>
      </w:tr>
      <w:tr w:rsidR="00030DC4" w14:paraId="4919E87B"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3E41725"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Market Effective Rent Growth</w:t>
            </w:r>
          </w:p>
        </w:tc>
        <w:tc>
          <w:tcPr>
            <w:tcW w:w="1300" w:type="dxa"/>
            <w:tcBorders>
              <w:top w:val="nil"/>
              <w:left w:val="nil"/>
              <w:bottom w:val="single" w:sz="4" w:space="0" w:color="auto"/>
              <w:right w:val="single" w:sz="4" w:space="0" w:color="auto"/>
            </w:tcBorders>
            <w:shd w:val="clear" w:color="auto" w:fill="auto"/>
            <w:noWrap/>
            <w:vAlign w:val="bottom"/>
            <w:hideMark/>
          </w:tcPr>
          <w:p w14:paraId="0058A78F"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0.8%</w:t>
            </w:r>
          </w:p>
        </w:tc>
        <w:tc>
          <w:tcPr>
            <w:tcW w:w="1300" w:type="dxa"/>
            <w:tcBorders>
              <w:top w:val="nil"/>
              <w:left w:val="nil"/>
              <w:bottom w:val="single" w:sz="4" w:space="0" w:color="auto"/>
              <w:right w:val="single" w:sz="4" w:space="0" w:color="auto"/>
            </w:tcBorders>
            <w:shd w:val="clear" w:color="auto" w:fill="auto"/>
            <w:noWrap/>
            <w:vAlign w:val="bottom"/>
            <w:hideMark/>
          </w:tcPr>
          <w:p w14:paraId="6420C681"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0.7%</w:t>
            </w:r>
          </w:p>
        </w:tc>
        <w:tc>
          <w:tcPr>
            <w:tcW w:w="2240" w:type="dxa"/>
            <w:tcBorders>
              <w:top w:val="nil"/>
              <w:left w:val="nil"/>
              <w:bottom w:val="single" w:sz="4" w:space="0" w:color="auto"/>
              <w:right w:val="single" w:sz="4" w:space="0" w:color="auto"/>
            </w:tcBorders>
            <w:shd w:val="clear" w:color="auto" w:fill="auto"/>
            <w:noWrap/>
            <w:vAlign w:val="bottom"/>
            <w:hideMark/>
          </w:tcPr>
          <w:p w14:paraId="586C2D7D"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0.007478899</w:t>
            </w:r>
          </w:p>
        </w:tc>
      </w:tr>
      <w:tr w:rsidR="00030DC4" w14:paraId="0184DEC3"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1F888E2"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Market Effective Rent/Unit</w:t>
            </w:r>
          </w:p>
        </w:tc>
        <w:tc>
          <w:tcPr>
            <w:tcW w:w="1300" w:type="dxa"/>
            <w:tcBorders>
              <w:top w:val="nil"/>
              <w:left w:val="nil"/>
              <w:bottom w:val="single" w:sz="4" w:space="0" w:color="auto"/>
              <w:right w:val="single" w:sz="4" w:space="0" w:color="auto"/>
            </w:tcBorders>
            <w:shd w:val="clear" w:color="auto" w:fill="auto"/>
            <w:noWrap/>
            <w:vAlign w:val="bottom"/>
            <w:hideMark/>
          </w:tcPr>
          <w:p w14:paraId="36A8038B"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$1,646</w:t>
            </w:r>
          </w:p>
        </w:tc>
        <w:tc>
          <w:tcPr>
            <w:tcW w:w="1300" w:type="dxa"/>
            <w:tcBorders>
              <w:top w:val="nil"/>
              <w:left w:val="nil"/>
              <w:bottom w:val="single" w:sz="4" w:space="0" w:color="auto"/>
              <w:right w:val="single" w:sz="4" w:space="0" w:color="auto"/>
            </w:tcBorders>
            <w:shd w:val="clear" w:color="auto" w:fill="auto"/>
            <w:noWrap/>
            <w:vAlign w:val="bottom"/>
            <w:hideMark/>
          </w:tcPr>
          <w:p w14:paraId="669CC33D"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$1,649</w:t>
            </w:r>
          </w:p>
        </w:tc>
        <w:tc>
          <w:tcPr>
            <w:tcW w:w="2240" w:type="dxa"/>
            <w:tcBorders>
              <w:top w:val="nil"/>
              <w:left w:val="nil"/>
              <w:bottom w:val="single" w:sz="4" w:space="0" w:color="auto"/>
              <w:right w:val="single" w:sz="4" w:space="0" w:color="auto"/>
            </w:tcBorders>
            <w:shd w:val="clear" w:color="auto" w:fill="auto"/>
            <w:noWrap/>
            <w:vAlign w:val="bottom"/>
            <w:hideMark/>
          </w:tcPr>
          <w:p w14:paraId="26FAE08A"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67.24718994</w:t>
            </w:r>
          </w:p>
        </w:tc>
      </w:tr>
      <w:tr w:rsidR="00030DC4" w14:paraId="62F2B660"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61627D09"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Demand Units</w:t>
            </w:r>
          </w:p>
        </w:tc>
        <w:tc>
          <w:tcPr>
            <w:tcW w:w="1300" w:type="dxa"/>
            <w:tcBorders>
              <w:top w:val="nil"/>
              <w:left w:val="nil"/>
              <w:bottom w:val="single" w:sz="4" w:space="0" w:color="auto"/>
              <w:right w:val="single" w:sz="4" w:space="0" w:color="auto"/>
            </w:tcBorders>
            <w:shd w:val="clear" w:color="auto" w:fill="auto"/>
            <w:noWrap/>
            <w:vAlign w:val="bottom"/>
            <w:hideMark/>
          </w:tcPr>
          <w:p w14:paraId="1A63A3D4"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48,858</w:t>
            </w:r>
          </w:p>
        </w:tc>
        <w:tc>
          <w:tcPr>
            <w:tcW w:w="1300" w:type="dxa"/>
            <w:tcBorders>
              <w:top w:val="nil"/>
              <w:left w:val="nil"/>
              <w:bottom w:val="single" w:sz="4" w:space="0" w:color="auto"/>
              <w:right w:val="single" w:sz="4" w:space="0" w:color="auto"/>
            </w:tcBorders>
            <w:shd w:val="clear" w:color="auto" w:fill="auto"/>
            <w:noWrap/>
            <w:vAlign w:val="bottom"/>
            <w:hideMark/>
          </w:tcPr>
          <w:p w14:paraId="7B90CDFC"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48,954</w:t>
            </w:r>
          </w:p>
        </w:tc>
        <w:tc>
          <w:tcPr>
            <w:tcW w:w="2240" w:type="dxa"/>
            <w:tcBorders>
              <w:top w:val="nil"/>
              <w:left w:val="nil"/>
              <w:bottom w:val="single" w:sz="4" w:space="0" w:color="auto"/>
              <w:right w:val="single" w:sz="4" w:space="0" w:color="auto"/>
            </w:tcBorders>
            <w:shd w:val="clear" w:color="auto" w:fill="auto"/>
            <w:noWrap/>
            <w:vAlign w:val="bottom"/>
            <w:hideMark/>
          </w:tcPr>
          <w:p w14:paraId="7D3B31CE"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1360.338134</w:t>
            </w:r>
          </w:p>
        </w:tc>
      </w:tr>
      <w:tr w:rsidR="00030DC4" w14:paraId="34E97AB9"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44B7B89"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Net delivered Units</w:t>
            </w:r>
          </w:p>
        </w:tc>
        <w:tc>
          <w:tcPr>
            <w:tcW w:w="1300" w:type="dxa"/>
            <w:tcBorders>
              <w:top w:val="nil"/>
              <w:left w:val="nil"/>
              <w:bottom w:val="single" w:sz="4" w:space="0" w:color="auto"/>
              <w:right w:val="single" w:sz="4" w:space="0" w:color="auto"/>
            </w:tcBorders>
            <w:shd w:val="clear" w:color="auto" w:fill="auto"/>
            <w:noWrap/>
            <w:vAlign w:val="bottom"/>
            <w:hideMark/>
          </w:tcPr>
          <w:p w14:paraId="2ECEF782"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268</w:t>
            </w:r>
          </w:p>
        </w:tc>
        <w:tc>
          <w:tcPr>
            <w:tcW w:w="1300" w:type="dxa"/>
            <w:tcBorders>
              <w:top w:val="nil"/>
              <w:left w:val="nil"/>
              <w:bottom w:val="single" w:sz="4" w:space="0" w:color="auto"/>
              <w:right w:val="single" w:sz="4" w:space="0" w:color="auto"/>
            </w:tcBorders>
            <w:shd w:val="clear" w:color="auto" w:fill="auto"/>
            <w:noWrap/>
            <w:vAlign w:val="bottom"/>
            <w:hideMark/>
          </w:tcPr>
          <w:p w14:paraId="54FA0DAB"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229</w:t>
            </w:r>
          </w:p>
        </w:tc>
        <w:tc>
          <w:tcPr>
            <w:tcW w:w="2240" w:type="dxa"/>
            <w:tcBorders>
              <w:top w:val="nil"/>
              <w:left w:val="nil"/>
              <w:bottom w:val="single" w:sz="4" w:space="0" w:color="auto"/>
              <w:right w:val="single" w:sz="4" w:space="0" w:color="auto"/>
            </w:tcBorders>
            <w:shd w:val="clear" w:color="auto" w:fill="auto"/>
            <w:noWrap/>
            <w:vAlign w:val="bottom"/>
            <w:hideMark/>
          </w:tcPr>
          <w:p w14:paraId="17EB31FD"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163.7002282</w:t>
            </w:r>
          </w:p>
        </w:tc>
      </w:tr>
      <w:tr w:rsidR="00030DC4" w14:paraId="4B3C6A06"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C15CD71"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Units Under Construction</w:t>
            </w:r>
          </w:p>
        </w:tc>
        <w:tc>
          <w:tcPr>
            <w:tcW w:w="1300" w:type="dxa"/>
            <w:tcBorders>
              <w:top w:val="nil"/>
              <w:left w:val="nil"/>
              <w:bottom w:val="single" w:sz="4" w:space="0" w:color="auto"/>
              <w:right w:val="single" w:sz="4" w:space="0" w:color="auto"/>
            </w:tcBorders>
            <w:shd w:val="clear" w:color="auto" w:fill="auto"/>
            <w:noWrap/>
            <w:vAlign w:val="bottom"/>
            <w:hideMark/>
          </w:tcPr>
          <w:p w14:paraId="6B7757C4"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 </w:t>
            </w:r>
          </w:p>
        </w:tc>
        <w:tc>
          <w:tcPr>
            <w:tcW w:w="1300" w:type="dxa"/>
            <w:tcBorders>
              <w:top w:val="nil"/>
              <w:left w:val="nil"/>
              <w:bottom w:val="single" w:sz="4" w:space="0" w:color="auto"/>
              <w:right w:val="single" w:sz="4" w:space="0" w:color="auto"/>
            </w:tcBorders>
            <w:shd w:val="clear" w:color="auto" w:fill="auto"/>
            <w:noWrap/>
            <w:vAlign w:val="bottom"/>
            <w:hideMark/>
          </w:tcPr>
          <w:p w14:paraId="5C6EF3CF"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 </w:t>
            </w:r>
          </w:p>
        </w:tc>
        <w:tc>
          <w:tcPr>
            <w:tcW w:w="2240" w:type="dxa"/>
            <w:tcBorders>
              <w:top w:val="nil"/>
              <w:left w:val="nil"/>
              <w:bottom w:val="single" w:sz="4" w:space="0" w:color="auto"/>
              <w:right w:val="single" w:sz="4" w:space="0" w:color="auto"/>
            </w:tcBorders>
            <w:shd w:val="clear" w:color="auto" w:fill="auto"/>
            <w:noWrap/>
            <w:vAlign w:val="bottom"/>
            <w:hideMark/>
          </w:tcPr>
          <w:p w14:paraId="278C44E9"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 </w:t>
            </w:r>
          </w:p>
        </w:tc>
      </w:tr>
      <w:tr w:rsidR="00030DC4" w14:paraId="38021EDC"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67BC37AD"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lastRenderedPageBreak/>
              <w:t>Absorption rate (%)</w:t>
            </w:r>
          </w:p>
        </w:tc>
        <w:tc>
          <w:tcPr>
            <w:tcW w:w="1300" w:type="dxa"/>
            <w:tcBorders>
              <w:top w:val="nil"/>
              <w:left w:val="nil"/>
              <w:bottom w:val="single" w:sz="4" w:space="0" w:color="auto"/>
              <w:right w:val="single" w:sz="4" w:space="0" w:color="auto"/>
            </w:tcBorders>
            <w:shd w:val="clear" w:color="auto" w:fill="auto"/>
            <w:noWrap/>
            <w:vAlign w:val="bottom"/>
            <w:hideMark/>
          </w:tcPr>
          <w:p w14:paraId="3AB0DD56"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0.5%</w:t>
            </w:r>
          </w:p>
        </w:tc>
        <w:tc>
          <w:tcPr>
            <w:tcW w:w="1300" w:type="dxa"/>
            <w:tcBorders>
              <w:top w:val="nil"/>
              <w:left w:val="nil"/>
              <w:bottom w:val="single" w:sz="4" w:space="0" w:color="auto"/>
              <w:right w:val="single" w:sz="4" w:space="0" w:color="auto"/>
            </w:tcBorders>
            <w:shd w:val="clear" w:color="auto" w:fill="auto"/>
            <w:noWrap/>
            <w:vAlign w:val="bottom"/>
            <w:hideMark/>
          </w:tcPr>
          <w:p w14:paraId="2E27FEE4"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0.5%</w:t>
            </w:r>
          </w:p>
        </w:tc>
        <w:tc>
          <w:tcPr>
            <w:tcW w:w="2240" w:type="dxa"/>
            <w:tcBorders>
              <w:top w:val="nil"/>
              <w:left w:val="nil"/>
              <w:bottom w:val="single" w:sz="4" w:space="0" w:color="auto"/>
              <w:right w:val="single" w:sz="4" w:space="0" w:color="auto"/>
            </w:tcBorders>
            <w:shd w:val="clear" w:color="auto" w:fill="auto"/>
            <w:noWrap/>
            <w:vAlign w:val="bottom"/>
            <w:hideMark/>
          </w:tcPr>
          <w:p w14:paraId="4F6A31B7"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0.00137131</w:t>
            </w:r>
          </w:p>
        </w:tc>
      </w:tr>
      <w:tr w:rsidR="00030DC4" w14:paraId="3EB84F83"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466AE8B"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Stabilized Vacancy</w:t>
            </w:r>
          </w:p>
        </w:tc>
        <w:tc>
          <w:tcPr>
            <w:tcW w:w="1300" w:type="dxa"/>
            <w:tcBorders>
              <w:top w:val="nil"/>
              <w:left w:val="nil"/>
              <w:bottom w:val="single" w:sz="4" w:space="0" w:color="auto"/>
              <w:right w:val="single" w:sz="4" w:space="0" w:color="auto"/>
            </w:tcBorders>
            <w:shd w:val="clear" w:color="auto" w:fill="auto"/>
            <w:noWrap/>
            <w:vAlign w:val="bottom"/>
            <w:hideMark/>
          </w:tcPr>
          <w:p w14:paraId="3242F56C"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3.2%</w:t>
            </w:r>
          </w:p>
        </w:tc>
        <w:tc>
          <w:tcPr>
            <w:tcW w:w="1300" w:type="dxa"/>
            <w:tcBorders>
              <w:top w:val="nil"/>
              <w:left w:val="nil"/>
              <w:bottom w:val="single" w:sz="4" w:space="0" w:color="auto"/>
              <w:right w:val="single" w:sz="4" w:space="0" w:color="auto"/>
            </w:tcBorders>
            <w:shd w:val="clear" w:color="auto" w:fill="auto"/>
            <w:noWrap/>
            <w:vAlign w:val="bottom"/>
            <w:hideMark/>
          </w:tcPr>
          <w:p w14:paraId="4DCDEB6D"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3.2%</w:t>
            </w:r>
          </w:p>
        </w:tc>
        <w:tc>
          <w:tcPr>
            <w:tcW w:w="2240" w:type="dxa"/>
            <w:tcBorders>
              <w:top w:val="nil"/>
              <w:left w:val="nil"/>
              <w:bottom w:val="single" w:sz="4" w:space="0" w:color="auto"/>
              <w:right w:val="single" w:sz="4" w:space="0" w:color="auto"/>
            </w:tcBorders>
            <w:shd w:val="clear" w:color="auto" w:fill="auto"/>
            <w:noWrap/>
            <w:vAlign w:val="bottom"/>
            <w:hideMark/>
          </w:tcPr>
          <w:p w14:paraId="6FCDA177"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0.001461365</w:t>
            </w:r>
          </w:p>
        </w:tc>
      </w:tr>
      <w:tr w:rsidR="00030DC4" w14:paraId="79679869" w14:textId="77777777" w:rsidTr="00030DC4">
        <w:trPr>
          <w:trHeight w:val="300"/>
        </w:trPr>
        <w:tc>
          <w:tcPr>
            <w:tcW w:w="2820" w:type="dxa"/>
            <w:tcBorders>
              <w:top w:val="nil"/>
              <w:left w:val="single" w:sz="4" w:space="0" w:color="auto"/>
              <w:bottom w:val="nil"/>
              <w:right w:val="single" w:sz="4" w:space="0" w:color="auto"/>
            </w:tcBorders>
            <w:shd w:val="clear" w:color="auto" w:fill="auto"/>
            <w:noWrap/>
            <w:vAlign w:val="bottom"/>
            <w:hideMark/>
          </w:tcPr>
          <w:p w14:paraId="3FCF230A"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Appreciation Return</w:t>
            </w:r>
          </w:p>
        </w:tc>
        <w:tc>
          <w:tcPr>
            <w:tcW w:w="1300" w:type="dxa"/>
            <w:tcBorders>
              <w:top w:val="nil"/>
              <w:left w:val="nil"/>
              <w:bottom w:val="nil"/>
              <w:right w:val="single" w:sz="4" w:space="0" w:color="auto"/>
            </w:tcBorders>
            <w:shd w:val="clear" w:color="auto" w:fill="auto"/>
            <w:noWrap/>
            <w:vAlign w:val="bottom"/>
            <w:hideMark/>
          </w:tcPr>
          <w:p w14:paraId="0880174B"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3.1%</w:t>
            </w:r>
          </w:p>
        </w:tc>
        <w:tc>
          <w:tcPr>
            <w:tcW w:w="1300" w:type="dxa"/>
            <w:tcBorders>
              <w:top w:val="nil"/>
              <w:left w:val="nil"/>
              <w:bottom w:val="nil"/>
              <w:right w:val="single" w:sz="4" w:space="0" w:color="auto"/>
            </w:tcBorders>
            <w:shd w:val="clear" w:color="auto" w:fill="auto"/>
            <w:noWrap/>
            <w:vAlign w:val="bottom"/>
            <w:hideMark/>
          </w:tcPr>
          <w:p w14:paraId="350A57DC"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4.0%</w:t>
            </w:r>
          </w:p>
        </w:tc>
        <w:tc>
          <w:tcPr>
            <w:tcW w:w="2240" w:type="dxa"/>
            <w:tcBorders>
              <w:top w:val="nil"/>
              <w:left w:val="nil"/>
              <w:bottom w:val="nil"/>
              <w:right w:val="single" w:sz="4" w:space="0" w:color="auto"/>
            </w:tcBorders>
            <w:shd w:val="clear" w:color="auto" w:fill="auto"/>
            <w:noWrap/>
            <w:vAlign w:val="bottom"/>
            <w:hideMark/>
          </w:tcPr>
          <w:p w14:paraId="68D974ED"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0.022728706</w:t>
            </w:r>
          </w:p>
        </w:tc>
      </w:tr>
      <w:tr w:rsidR="00030DC4" w14:paraId="6AF67D87" w14:textId="77777777" w:rsidTr="00F94995">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tcPr>
          <w:p w14:paraId="17574E81" w14:textId="77777777" w:rsidR="00030DC4" w:rsidRDefault="00030DC4" w:rsidP="00F94995">
            <w:pPr>
              <w:rPr>
                <w:rFonts w:ascii="Calibri" w:hAnsi="Calibri" w:cs="Calibri"/>
                <w:color w:val="000000"/>
                <w:sz w:val="22"/>
                <w:szCs w:val="22"/>
              </w:rPr>
            </w:pPr>
          </w:p>
        </w:tc>
        <w:tc>
          <w:tcPr>
            <w:tcW w:w="1300" w:type="dxa"/>
            <w:tcBorders>
              <w:top w:val="nil"/>
              <w:left w:val="nil"/>
              <w:bottom w:val="single" w:sz="4" w:space="0" w:color="auto"/>
              <w:right w:val="single" w:sz="4" w:space="0" w:color="auto"/>
            </w:tcBorders>
            <w:shd w:val="clear" w:color="auto" w:fill="auto"/>
            <w:noWrap/>
            <w:vAlign w:val="bottom"/>
          </w:tcPr>
          <w:p w14:paraId="0B6B5F2B" w14:textId="77777777" w:rsidR="00030DC4" w:rsidRDefault="00030DC4" w:rsidP="00F94995">
            <w:pPr>
              <w:jc w:val="right"/>
              <w:rPr>
                <w:rFonts w:ascii="Calibri" w:hAnsi="Calibri" w:cs="Calibri"/>
                <w:color w:val="000000"/>
                <w:sz w:val="22"/>
                <w:szCs w:val="22"/>
              </w:rPr>
            </w:pPr>
          </w:p>
        </w:tc>
        <w:tc>
          <w:tcPr>
            <w:tcW w:w="1300" w:type="dxa"/>
            <w:tcBorders>
              <w:top w:val="nil"/>
              <w:left w:val="nil"/>
              <w:bottom w:val="single" w:sz="4" w:space="0" w:color="auto"/>
              <w:right w:val="single" w:sz="4" w:space="0" w:color="auto"/>
            </w:tcBorders>
            <w:shd w:val="clear" w:color="auto" w:fill="auto"/>
            <w:noWrap/>
            <w:vAlign w:val="bottom"/>
          </w:tcPr>
          <w:p w14:paraId="312E9FDB" w14:textId="77777777" w:rsidR="00030DC4" w:rsidRDefault="00030DC4" w:rsidP="00F94995">
            <w:pPr>
              <w:jc w:val="right"/>
              <w:rPr>
                <w:rFonts w:ascii="Calibri" w:hAnsi="Calibri" w:cs="Calibri"/>
                <w:color w:val="000000"/>
                <w:sz w:val="22"/>
                <w:szCs w:val="22"/>
              </w:rPr>
            </w:pPr>
          </w:p>
        </w:tc>
        <w:tc>
          <w:tcPr>
            <w:tcW w:w="2240" w:type="dxa"/>
            <w:tcBorders>
              <w:top w:val="nil"/>
              <w:left w:val="nil"/>
              <w:bottom w:val="single" w:sz="4" w:space="0" w:color="auto"/>
              <w:right w:val="single" w:sz="4" w:space="0" w:color="auto"/>
            </w:tcBorders>
            <w:shd w:val="clear" w:color="auto" w:fill="auto"/>
            <w:noWrap/>
            <w:vAlign w:val="bottom"/>
          </w:tcPr>
          <w:p w14:paraId="64B766FA" w14:textId="77777777" w:rsidR="00030DC4" w:rsidRDefault="00030DC4" w:rsidP="00F94995">
            <w:pPr>
              <w:jc w:val="right"/>
              <w:rPr>
                <w:rFonts w:ascii="Calibri" w:hAnsi="Calibri" w:cs="Calibri"/>
                <w:color w:val="000000"/>
                <w:sz w:val="22"/>
                <w:szCs w:val="22"/>
              </w:rPr>
            </w:pPr>
          </w:p>
        </w:tc>
      </w:tr>
    </w:tbl>
    <w:p w14:paraId="164EFF10" w14:textId="051073FB" w:rsidR="00030DC4" w:rsidRPr="007A668C" w:rsidRDefault="00030DC4" w:rsidP="00030DC4">
      <w:pPr>
        <w:spacing w:line="360" w:lineRule="auto"/>
        <w:jc w:val="center"/>
        <w:rPr>
          <w:rFonts w:ascii="Times" w:hAnsi="Times"/>
        </w:rPr>
      </w:pPr>
      <w:r>
        <w:rPr>
          <w:rFonts w:ascii="Times" w:hAnsi="Times"/>
        </w:rPr>
        <w:t xml:space="preserve">Table 3_Milwaukee from </w:t>
      </w:r>
      <w:r>
        <w:rPr>
          <w:rFonts w:ascii="Times" w:hAnsi="Times"/>
        </w:rPr>
        <w:t xml:space="preserve">Q4/2024 </w:t>
      </w:r>
      <w:r w:rsidRPr="0020272F">
        <w:rPr>
          <w:rFonts w:ascii="Times" w:hAnsi="Times"/>
          <w:color w:val="000000" w:themeColor="text1"/>
        </w:rPr>
        <w:t>to Q</w:t>
      </w:r>
      <w:r>
        <w:rPr>
          <w:rFonts w:ascii="Times" w:hAnsi="Times"/>
          <w:color w:val="000000" w:themeColor="text1"/>
        </w:rPr>
        <w:t>4</w:t>
      </w:r>
      <w:r w:rsidRPr="0020272F">
        <w:rPr>
          <w:rFonts w:ascii="Times" w:hAnsi="Times"/>
          <w:color w:val="000000" w:themeColor="text1"/>
        </w:rPr>
        <w:t>/202</w:t>
      </w:r>
      <w:r>
        <w:rPr>
          <w:rFonts w:ascii="Times" w:hAnsi="Times"/>
          <w:color w:val="000000" w:themeColor="text1"/>
        </w:rPr>
        <w:t>8</w:t>
      </w:r>
    </w:p>
    <w:tbl>
      <w:tblPr>
        <w:tblW w:w="7580" w:type="dxa"/>
        <w:tblLook w:val="04A0" w:firstRow="1" w:lastRow="0" w:firstColumn="1" w:lastColumn="0" w:noHBand="0" w:noVBand="1"/>
      </w:tblPr>
      <w:tblGrid>
        <w:gridCol w:w="2800"/>
        <w:gridCol w:w="1300"/>
        <w:gridCol w:w="1300"/>
        <w:gridCol w:w="2180"/>
      </w:tblGrid>
      <w:tr w:rsidR="00030DC4" w14:paraId="1E82E706" w14:textId="77777777" w:rsidTr="00F94995">
        <w:trPr>
          <w:trHeight w:val="300"/>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BD982" w14:textId="77777777" w:rsidR="00030DC4" w:rsidRDefault="00030DC4" w:rsidP="00F94995">
            <w:pPr>
              <w:rPr>
                <w:rFonts w:ascii="Calibri" w:hAnsi="Calibri" w:cs="Calibri"/>
                <w:b/>
                <w:bCs/>
                <w:color w:val="000000"/>
                <w:sz w:val="22"/>
                <w:szCs w:val="22"/>
              </w:rPr>
            </w:pPr>
            <w:r>
              <w:rPr>
                <w:rFonts w:ascii="Calibri" w:hAnsi="Calibri" w:cs="Calibri"/>
                <w:b/>
                <w:bCs/>
                <w:color w:val="000000"/>
                <w:sz w:val="22"/>
                <w:szCs w:val="22"/>
              </w:rPr>
              <w:t>Minneapolis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8F4421E" w14:textId="77777777" w:rsidR="00030DC4" w:rsidRDefault="00030DC4" w:rsidP="00F94995">
            <w:pPr>
              <w:rPr>
                <w:rFonts w:ascii="Calibri" w:hAnsi="Calibri" w:cs="Calibri"/>
                <w:b/>
                <w:bCs/>
                <w:color w:val="000000"/>
                <w:sz w:val="22"/>
                <w:szCs w:val="22"/>
              </w:rPr>
            </w:pPr>
            <w:r>
              <w:rPr>
                <w:rFonts w:ascii="Calibri" w:hAnsi="Calibri" w:cs="Calibri"/>
                <w:b/>
                <w:bCs/>
                <w:color w:val="000000"/>
                <w:sz w:val="22"/>
                <w:szCs w:val="22"/>
              </w:rPr>
              <w:t>Mean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D995655" w14:textId="77777777" w:rsidR="00030DC4" w:rsidRDefault="00030DC4" w:rsidP="00F94995">
            <w:pPr>
              <w:rPr>
                <w:rFonts w:ascii="Calibri" w:hAnsi="Calibri" w:cs="Calibri"/>
                <w:b/>
                <w:bCs/>
                <w:color w:val="000000"/>
                <w:sz w:val="22"/>
                <w:szCs w:val="22"/>
              </w:rPr>
            </w:pPr>
            <w:r>
              <w:rPr>
                <w:rFonts w:ascii="Calibri" w:hAnsi="Calibri" w:cs="Calibri"/>
                <w:b/>
                <w:bCs/>
                <w:color w:val="000000"/>
                <w:sz w:val="22"/>
                <w:szCs w:val="22"/>
              </w:rPr>
              <w:t>Median</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5E91E81F" w14:textId="77777777" w:rsidR="00030DC4" w:rsidRDefault="00030DC4" w:rsidP="00F94995">
            <w:pPr>
              <w:rPr>
                <w:rFonts w:ascii="Calibri" w:hAnsi="Calibri" w:cs="Calibri"/>
                <w:b/>
                <w:bCs/>
                <w:color w:val="000000"/>
                <w:sz w:val="22"/>
                <w:szCs w:val="22"/>
              </w:rPr>
            </w:pPr>
            <w:r>
              <w:rPr>
                <w:rFonts w:ascii="Calibri" w:hAnsi="Calibri" w:cs="Calibri"/>
                <w:b/>
                <w:bCs/>
                <w:color w:val="000000"/>
                <w:sz w:val="22"/>
                <w:szCs w:val="22"/>
              </w:rPr>
              <w:t>Standard Deviation</w:t>
            </w:r>
          </w:p>
        </w:tc>
      </w:tr>
      <w:tr w:rsidR="00030DC4" w14:paraId="0E7CB639" w14:textId="77777777" w:rsidTr="00F94995">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EE58B07"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Market Asking Rent Growth</w:t>
            </w:r>
          </w:p>
        </w:tc>
        <w:tc>
          <w:tcPr>
            <w:tcW w:w="1300" w:type="dxa"/>
            <w:tcBorders>
              <w:top w:val="nil"/>
              <w:left w:val="nil"/>
              <w:bottom w:val="single" w:sz="4" w:space="0" w:color="auto"/>
              <w:right w:val="single" w:sz="4" w:space="0" w:color="auto"/>
            </w:tcBorders>
            <w:shd w:val="clear" w:color="auto" w:fill="auto"/>
            <w:noWrap/>
            <w:vAlign w:val="bottom"/>
            <w:hideMark/>
          </w:tcPr>
          <w:p w14:paraId="671347B5"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0.7%</w:t>
            </w:r>
          </w:p>
        </w:tc>
        <w:tc>
          <w:tcPr>
            <w:tcW w:w="1300" w:type="dxa"/>
            <w:tcBorders>
              <w:top w:val="nil"/>
              <w:left w:val="nil"/>
              <w:bottom w:val="single" w:sz="4" w:space="0" w:color="auto"/>
              <w:right w:val="single" w:sz="4" w:space="0" w:color="auto"/>
            </w:tcBorders>
            <w:shd w:val="clear" w:color="auto" w:fill="auto"/>
            <w:noWrap/>
            <w:vAlign w:val="bottom"/>
            <w:hideMark/>
          </w:tcPr>
          <w:p w14:paraId="69B2E57C"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0.7%</w:t>
            </w:r>
          </w:p>
        </w:tc>
        <w:tc>
          <w:tcPr>
            <w:tcW w:w="2180" w:type="dxa"/>
            <w:tcBorders>
              <w:top w:val="nil"/>
              <w:left w:val="nil"/>
              <w:bottom w:val="single" w:sz="4" w:space="0" w:color="auto"/>
              <w:right w:val="single" w:sz="4" w:space="0" w:color="auto"/>
            </w:tcBorders>
            <w:shd w:val="clear" w:color="auto" w:fill="auto"/>
            <w:noWrap/>
            <w:vAlign w:val="bottom"/>
            <w:hideMark/>
          </w:tcPr>
          <w:p w14:paraId="0F1AB41F"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0.006762667</w:t>
            </w:r>
          </w:p>
        </w:tc>
      </w:tr>
      <w:tr w:rsidR="00030DC4" w14:paraId="0C26BF1F" w14:textId="77777777" w:rsidTr="00F94995">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1675B95"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Market Asking Rent/Unit</w:t>
            </w:r>
          </w:p>
        </w:tc>
        <w:tc>
          <w:tcPr>
            <w:tcW w:w="1300" w:type="dxa"/>
            <w:tcBorders>
              <w:top w:val="nil"/>
              <w:left w:val="nil"/>
              <w:bottom w:val="single" w:sz="4" w:space="0" w:color="auto"/>
              <w:right w:val="single" w:sz="4" w:space="0" w:color="auto"/>
            </w:tcBorders>
            <w:shd w:val="clear" w:color="auto" w:fill="auto"/>
            <w:noWrap/>
            <w:vAlign w:val="bottom"/>
            <w:hideMark/>
          </w:tcPr>
          <w:p w14:paraId="553149C8"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$1,789</w:t>
            </w:r>
          </w:p>
        </w:tc>
        <w:tc>
          <w:tcPr>
            <w:tcW w:w="1300" w:type="dxa"/>
            <w:tcBorders>
              <w:top w:val="nil"/>
              <w:left w:val="nil"/>
              <w:bottom w:val="single" w:sz="4" w:space="0" w:color="auto"/>
              <w:right w:val="single" w:sz="4" w:space="0" w:color="auto"/>
            </w:tcBorders>
            <w:shd w:val="clear" w:color="auto" w:fill="auto"/>
            <w:noWrap/>
            <w:vAlign w:val="bottom"/>
            <w:hideMark/>
          </w:tcPr>
          <w:p w14:paraId="5EE851A6"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$1,792</w:t>
            </w:r>
          </w:p>
        </w:tc>
        <w:tc>
          <w:tcPr>
            <w:tcW w:w="2180" w:type="dxa"/>
            <w:tcBorders>
              <w:top w:val="nil"/>
              <w:left w:val="nil"/>
              <w:bottom w:val="single" w:sz="4" w:space="0" w:color="auto"/>
              <w:right w:val="single" w:sz="4" w:space="0" w:color="auto"/>
            </w:tcBorders>
            <w:shd w:val="clear" w:color="auto" w:fill="auto"/>
            <w:noWrap/>
            <w:vAlign w:val="bottom"/>
            <w:hideMark/>
          </w:tcPr>
          <w:p w14:paraId="11913EE6"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67.87017068</w:t>
            </w:r>
          </w:p>
        </w:tc>
      </w:tr>
      <w:tr w:rsidR="00030DC4" w14:paraId="0DB8DBD4" w14:textId="77777777" w:rsidTr="00F94995">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57EB944"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Market Effective Rent Growth</w:t>
            </w:r>
          </w:p>
        </w:tc>
        <w:tc>
          <w:tcPr>
            <w:tcW w:w="1300" w:type="dxa"/>
            <w:tcBorders>
              <w:top w:val="nil"/>
              <w:left w:val="nil"/>
              <w:bottom w:val="single" w:sz="4" w:space="0" w:color="auto"/>
              <w:right w:val="single" w:sz="4" w:space="0" w:color="auto"/>
            </w:tcBorders>
            <w:shd w:val="clear" w:color="auto" w:fill="auto"/>
            <w:noWrap/>
            <w:vAlign w:val="bottom"/>
            <w:hideMark/>
          </w:tcPr>
          <w:p w14:paraId="2996379A"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0.7%</w:t>
            </w:r>
          </w:p>
        </w:tc>
        <w:tc>
          <w:tcPr>
            <w:tcW w:w="1300" w:type="dxa"/>
            <w:tcBorders>
              <w:top w:val="nil"/>
              <w:left w:val="nil"/>
              <w:bottom w:val="single" w:sz="4" w:space="0" w:color="auto"/>
              <w:right w:val="single" w:sz="4" w:space="0" w:color="auto"/>
            </w:tcBorders>
            <w:shd w:val="clear" w:color="auto" w:fill="auto"/>
            <w:noWrap/>
            <w:vAlign w:val="bottom"/>
            <w:hideMark/>
          </w:tcPr>
          <w:p w14:paraId="02DFD6E1"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0.7%</w:t>
            </w:r>
          </w:p>
        </w:tc>
        <w:tc>
          <w:tcPr>
            <w:tcW w:w="2180" w:type="dxa"/>
            <w:tcBorders>
              <w:top w:val="nil"/>
              <w:left w:val="nil"/>
              <w:bottom w:val="single" w:sz="4" w:space="0" w:color="auto"/>
              <w:right w:val="single" w:sz="4" w:space="0" w:color="auto"/>
            </w:tcBorders>
            <w:shd w:val="clear" w:color="auto" w:fill="auto"/>
            <w:noWrap/>
            <w:vAlign w:val="bottom"/>
            <w:hideMark/>
          </w:tcPr>
          <w:p w14:paraId="60433799"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0.006857101</w:t>
            </w:r>
          </w:p>
        </w:tc>
      </w:tr>
      <w:tr w:rsidR="00030DC4" w14:paraId="23E4228E" w14:textId="77777777" w:rsidTr="00F94995">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7D60612"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Market Effective Rent/Unit</w:t>
            </w:r>
          </w:p>
        </w:tc>
        <w:tc>
          <w:tcPr>
            <w:tcW w:w="1300" w:type="dxa"/>
            <w:tcBorders>
              <w:top w:val="nil"/>
              <w:left w:val="nil"/>
              <w:bottom w:val="single" w:sz="4" w:space="0" w:color="auto"/>
              <w:right w:val="single" w:sz="4" w:space="0" w:color="auto"/>
            </w:tcBorders>
            <w:shd w:val="clear" w:color="auto" w:fill="auto"/>
            <w:noWrap/>
            <w:vAlign w:val="bottom"/>
            <w:hideMark/>
          </w:tcPr>
          <w:p w14:paraId="38B3A0E7"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$1,762</w:t>
            </w:r>
          </w:p>
        </w:tc>
        <w:tc>
          <w:tcPr>
            <w:tcW w:w="1300" w:type="dxa"/>
            <w:tcBorders>
              <w:top w:val="nil"/>
              <w:left w:val="nil"/>
              <w:bottom w:val="single" w:sz="4" w:space="0" w:color="auto"/>
              <w:right w:val="single" w:sz="4" w:space="0" w:color="auto"/>
            </w:tcBorders>
            <w:shd w:val="clear" w:color="auto" w:fill="auto"/>
            <w:noWrap/>
            <w:vAlign w:val="bottom"/>
            <w:hideMark/>
          </w:tcPr>
          <w:p w14:paraId="5E3098E1"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$1,766</w:t>
            </w:r>
          </w:p>
        </w:tc>
        <w:tc>
          <w:tcPr>
            <w:tcW w:w="2180" w:type="dxa"/>
            <w:tcBorders>
              <w:top w:val="nil"/>
              <w:left w:val="nil"/>
              <w:bottom w:val="single" w:sz="4" w:space="0" w:color="auto"/>
              <w:right w:val="single" w:sz="4" w:space="0" w:color="auto"/>
            </w:tcBorders>
            <w:shd w:val="clear" w:color="auto" w:fill="auto"/>
            <w:noWrap/>
            <w:vAlign w:val="bottom"/>
            <w:hideMark/>
          </w:tcPr>
          <w:p w14:paraId="0965DD36"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66.89497858</w:t>
            </w:r>
          </w:p>
        </w:tc>
      </w:tr>
      <w:tr w:rsidR="00030DC4" w14:paraId="6F1F1876" w14:textId="77777777" w:rsidTr="00F94995">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20E756F"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Demand Units</w:t>
            </w:r>
          </w:p>
        </w:tc>
        <w:tc>
          <w:tcPr>
            <w:tcW w:w="1300" w:type="dxa"/>
            <w:tcBorders>
              <w:top w:val="nil"/>
              <w:left w:val="nil"/>
              <w:bottom w:val="single" w:sz="4" w:space="0" w:color="auto"/>
              <w:right w:val="single" w:sz="4" w:space="0" w:color="auto"/>
            </w:tcBorders>
            <w:shd w:val="clear" w:color="auto" w:fill="auto"/>
            <w:noWrap/>
            <w:vAlign w:val="bottom"/>
            <w:hideMark/>
          </w:tcPr>
          <w:p w14:paraId="7FBBE09D"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92,819</w:t>
            </w:r>
          </w:p>
        </w:tc>
        <w:tc>
          <w:tcPr>
            <w:tcW w:w="1300" w:type="dxa"/>
            <w:tcBorders>
              <w:top w:val="nil"/>
              <w:left w:val="nil"/>
              <w:bottom w:val="single" w:sz="4" w:space="0" w:color="auto"/>
              <w:right w:val="single" w:sz="4" w:space="0" w:color="auto"/>
            </w:tcBorders>
            <w:shd w:val="clear" w:color="auto" w:fill="auto"/>
            <w:noWrap/>
            <w:vAlign w:val="bottom"/>
            <w:hideMark/>
          </w:tcPr>
          <w:p w14:paraId="65A4D734"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93,268</w:t>
            </w:r>
          </w:p>
        </w:tc>
        <w:tc>
          <w:tcPr>
            <w:tcW w:w="2180" w:type="dxa"/>
            <w:tcBorders>
              <w:top w:val="nil"/>
              <w:left w:val="nil"/>
              <w:bottom w:val="single" w:sz="4" w:space="0" w:color="auto"/>
              <w:right w:val="single" w:sz="4" w:space="0" w:color="auto"/>
            </w:tcBorders>
            <w:shd w:val="clear" w:color="auto" w:fill="auto"/>
            <w:noWrap/>
            <w:vAlign w:val="bottom"/>
            <w:hideMark/>
          </w:tcPr>
          <w:p w14:paraId="7FE0D382"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4321.512409</w:t>
            </w:r>
          </w:p>
        </w:tc>
      </w:tr>
      <w:tr w:rsidR="00030DC4" w14:paraId="55672A7C" w14:textId="77777777" w:rsidTr="00F94995">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6FA58D6"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Net delivered Units</w:t>
            </w:r>
          </w:p>
        </w:tc>
        <w:tc>
          <w:tcPr>
            <w:tcW w:w="1300" w:type="dxa"/>
            <w:tcBorders>
              <w:top w:val="nil"/>
              <w:left w:val="nil"/>
              <w:bottom w:val="single" w:sz="4" w:space="0" w:color="auto"/>
              <w:right w:val="single" w:sz="4" w:space="0" w:color="auto"/>
            </w:tcBorders>
            <w:shd w:val="clear" w:color="auto" w:fill="auto"/>
            <w:noWrap/>
            <w:vAlign w:val="bottom"/>
            <w:hideMark/>
          </w:tcPr>
          <w:p w14:paraId="1D2EC7DC"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772</w:t>
            </w:r>
          </w:p>
        </w:tc>
        <w:tc>
          <w:tcPr>
            <w:tcW w:w="1300" w:type="dxa"/>
            <w:tcBorders>
              <w:top w:val="nil"/>
              <w:left w:val="nil"/>
              <w:bottom w:val="single" w:sz="4" w:space="0" w:color="auto"/>
              <w:right w:val="single" w:sz="4" w:space="0" w:color="auto"/>
            </w:tcBorders>
            <w:shd w:val="clear" w:color="auto" w:fill="auto"/>
            <w:noWrap/>
            <w:vAlign w:val="bottom"/>
            <w:hideMark/>
          </w:tcPr>
          <w:p w14:paraId="26B60CA7"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717</w:t>
            </w:r>
          </w:p>
        </w:tc>
        <w:tc>
          <w:tcPr>
            <w:tcW w:w="2180" w:type="dxa"/>
            <w:tcBorders>
              <w:top w:val="nil"/>
              <w:left w:val="nil"/>
              <w:bottom w:val="single" w:sz="4" w:space="0" w:color="auto"/>
              <w:right w:val="single" w:sz="4" w:space="0" w:color="auto"/>
            </w:tcBorders>
            <w:shd w:val="clear" w:color="auto" w:fill="auto"/>
            <w:noWrap/>
            <w:vAlign w:val="bottom"/>
            <w:hideMark/>
          </w:tcPr>
          <w:p w14:paraId="31103251"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299.53459</w:t>
            </w:r>
          </w:p>
        </w:tc>
      </w:tr>
      <w:tr w:rsidR="00030DC4" w14:paraId="4C167BEF" w14:textId="77777777" w:rsidTr="00F94995">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1D5C7D0"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Units Under Construction</w:t>
            </w:r>
          </w:p>
        </w:tc>
        <w:tc>
          <w:tcPr>
            <w:tcW w:w="1300" w:type="dxa"/>
            <w:tcBorders>
              <w:top w:val="nil"/>
              <w:left w:val="nil"/>
              <w:bottom w:val="single" w:sz="4" w:space="0" w:color="auto"/>
              <w:right w:val="single" w:sz="4" w:space="0" w:color="auto"/>
            </w:tcBorders>
            <w:shd w:val="clear" w:color="auto" w:fill="auto"/>
            <w:noWrap/>
            <w:vAlign w:val="bottom"/>
            <w:hideMark/>
          </w:tcPr>
          <w:p w14:paraId="315F5E90"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 </w:t>
            </w:r>
          </w:p>
        </w:tc>
        <w:tc>
          <w:tcPr>
            <w:tcW w:w="1300" w:type="dxa"/>
            <w:tcBorders>
              <w:top w:val="nil"/>
              <w:left w:val="nil"/>
              <w:bottom w:val="single" w:sz="4" w:space="0" w:color="auto"/>
              <w:right w:val="single" w:sz="4" w:space="0" w:color="auto"/>
            </w:tcBorders>
            <w:shd w:val="clear" w:color="auto" w:fill="auto"/>
            <w:noWrap/>
            <w:vAlign w:val="bottom"/>
            <w:hideMark/>
          </w:tcPr>
          <w:p w14:paraId="32BB98A6"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 </w:t>
            </w:r>
          </w:p>
        </w:tc>
        <w:tc>
          <w:tcPr>
            <w:tcW w:w="2180" w:type="dxa"/>
            <w:tcBorders>
              <w:top w:val="nil"/>
              <w:left w:val="nil"/>
              <w:bottom w:val="single" w:sz="4" w:space="0" w:color="auto"/>
              <w:right w:val="single" w:sz="4" w:space="0" w:color="auto"/>
            </w:tcBorders>
            <w:shd w:val="clear" w:color="auto" w:fill="auto"/>
            <w:noWrap/>
            <w:vAlign w:val="bottom"/>
            <w:hideMark/>
          </w:tcPr>
          <w:p w14:paraId="61DBE614"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 </w:t>
            </w:r>
          </w:p>
        </w:tc>
      </w:tr>
      <w:tr w:rsidR="00030DC4" w14:paraId="5037E4FE" w14:textId="77777777" w:rsidTr="00F94995">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59D6488"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Absorption rate (%)</w:t>
            </w:r>
          </w:p>
        </w:tc>
        <w:tc>
          <w:tcPr>
            <w:tcW w:w="1300" w:type="dxa"/>
            <w:tcBorders>
              <w:top w:val="nil"/>
              <w:left w:val="nil"/>
              <w:bottom w:val="single" w:sz="4" w:space="0" w:color="auto"/>
              <w:right w:val="single" w:sz="4" w:space="0" w:color="auto"/>
            </w:tcBorders>
            <w:shd w:val="clear" w:color="auto" w:fill="auto"/>
            <w:noWrap/>
            <w:vAlign w:val="bottom"/>
            <w:hideMark/>
          </w:tcPr>
          <w:p w14:paraId="52266DAD"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0.8%</w:t>
            </w:r>
          </w:p>
        </w:tc>
        <w:tc>
          <w:tcPr>
            <w:tcW w:w="1300" w:type="dxa"/>
            <w:tcBorders>
              <w:top w:val="nil"/>
              <w:left w:val="nil"/>
              <w:bottom w:val="single" w:sz="4" w:space="0" w:color="auto"/>
              <w:right w:val="single" w:sz="4" w:space="0" w:color="auto"/>
            </w:tcBorders>
            <w:shd w:val="clear" w:color="auto" w:fill="auto"/>
            <w:noWrap/>
            <w:vAlign w:val="bottom"/>
            <w:hideMark/>
          </w:tcPr>
          <w:p w14:paraId="274A6F80"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0.8%</w:t>
            </w:r>
          </w:p>
        </w:tc>
        <w:tc>
          <w:tcPr>
            <w:tcW w:w="2180" w:type="dxa"/>
            <w:tcBorders>
              <w:top w:val="nil"/>
              <w:left w:val="nil"/>
              <w:bottom w:val="single" w:sz="4" w:space="0" w:color="auto"/>
              <w:right w:val="single" w:sz="4" w:space="0" w:color="auto"/>
            </w:tcBorders>
            <w:shd w:val="clear" w:color="auto" w:fill="auto"/>
            <w:noWrap/>
            <w:vAlign w:val="bottom"/>
            <w:hideMark/>
          </w:tcPr>
          <w:p w14:paraId="6DA43952"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0.002033822</w:t>
            </w:r>
          </w:p>
        </w:tc>
      </w:tr>
      <w:tr w:rsidR="00030DC4" w14:paraId="6C7CDD9E" w14:textId="77777777" w:rsidTr="00F94995">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B58B4D3"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Stabilized Vacancy</w:t>
            </w:r>
          </w:p>
        </w:tc>
        <w:tc>
          <w:tcPr>
            <w:tcW w:w="1300" w:type="dxa"/>
            <w:tcBorders>
              <w:top w:val="nil"/>
              <w:left w:val="nil"/>
              <w:bottom w:val="single" w:sz="4" w:space="0" w:color="auto"/>
              <w:right w:val="single" w:sz="4" w:space="0" w:color="auto"/>
            </w:tcBorders>
            <w:shd w:val="clear" w:color="auto" w:fill="auto"/>
            <w:noWrap/>
            <w:vAlign w:val="bottom"/>
            <w:hideMark/>
          </w:tcPr>
          <w:p w14:paraId="651DC03E"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5.8%</w:t>
            </w:r>
          </w:p>
        </w:tc>
        <w:tc>
          <w:tcPr>
            <w:tcW w:w="1300" w:type="dxa"/>
            <w:tcBorders>
              <w:top w:val="nil"/>
              <w:left w:val="nil"/>
              <w:bottom w:val="single" w:sz="4" w:space="0" w:color="auto"/>
              <w:right w:val="single" w:sz="4" w:space="0" w:color="auto"/>
            </w:tcBorders>
            <w:shd w:val="clear" w:color="auto" w:fill="auto"/>
            <w:noWrap/>
            <w:vAlign w:val="bottom"/>
            <w:hideMark/>
          </w:tcPr>
          <w:p w14:paraId="4164F034"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5.9%</w:t>
            </w:r>
          </w:p>
        </w:tc>
        <w:tc>
          <w:tcPr>
            <w:tcW w:w="2180" w:type="dxa"/>
            <w:tcBorders>
              <w:top w:val="nil"/>
              <w:left w:val="nil"/>
              <w:bottom w:val="single" w:sz="4" w:space="0" w:color="auto"/>
              <w:right w:val="single" w:sz="4" w:space="0" w:color="auto"/>
            </w:tcBorders>
            <w:shd w:val="clear" w:color="auto" w:fill="auto"/>
            <w:noWrap/>
            <w:vAlign w:val="bottom"/>
            <w:hideMark/>
          </w:tcPr>
          <w:p w14:paraId="585FC106"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0.002145858</w:t>
            </w:r>
          </w:p>
        </w:tc>
      </w:tr>
      <w:tr w:rsidR="00030DC4" w14:paraId="40DC55E3" w14:textId="77777777" w:rsidTr="00F94995">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D4ED975" w14:textId="77777777" w:rsidR="00030DC4" w:rsidRDefault="00030DC4" w:rsidP="00F94995">
            <w:pPr>
              <w:rPr>
                <w:rFonts w:ascii="Calibri" w:hAnsi="Calibri" w:cs="Calibri"/>
                <w:color w:val="000000"/>
                <w:sz w:val="22"/>
                <w:szCs w:val="22"/>
              </w:rPr>
            </w:pPr>
            <w:r>
              <w:rPr>
                <w:rFonts w:ascii="Calibri" w:hAnsi="Calibri" w:cs="Calibri"/>
                <w:color w:val="000000"/>
                <w:sz w:val="22"/>
                <w:szCs w:val="22"/>
              </w:rPr>
              <w:t>Appreciation Return</w:t>
            </w:r>
          </w:p>
        </w:tc>
        <w:tc>
          <w:tcPr>
            <w:tcW w:w="1300" w:type="dxa"/>
            <w:tcBorders>
              <w:top w:val="nil"/>
              <w:left w:val="nil"/>
              <w:bottom w:val="single" w:sz="4" w:space="0" w:color="auto"/>
              <w:right w:val="single" w:sz="4" w:space="0" w:color="auto"/>
            </w:tcBorders>
            <w:shd w:val="clear" w:color="auto" w:fill="auto"/>
            <w:noWrap/>
            <w:vAlign w:val="bottom"/>
            <w:hideMark/>
          </w:tcPr>
          <w:p w14:paraId="24F915ED"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2.7%</w:t>
            </w:r>
          </w:p>
        </w:tc>
        <w:tc>
          <w:tcPr>
            <w:tcW w:w="1300" w:type="dxa"/>
            <w:tcBorders>
              <w:top w:val="nil"/>
              <w:left w:val="nil"/>
              <w:bottom w:val="single" w:sz="4" w:space="0" w:color="auto"/>
              <w:right w:val="single" w:sz="4" w:space="0" w:color="auto"/>
            </w:tcBorders>
            <w:shd w:val="clear" w:color="auto" w:fill="auto"/>
            <w:noWrap/>
            <w:vAlign w:val="bottom"/>
            <w:hideMark/>
          </w:tcPr>
          <w:p w14:paraId="02CAF653"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4.3%</w:t>
            </w:r>
          </w:p>
        </w:tc>
        <w:tc>
          <w:tcPr>
            <w:tcW w:w="2180" w:type="dxa"/>
            <w:tcBorders>
              <w:top w:val="nil"/>
              <w:left w:val="nil"/>
              <w:bottom w:val="single" w:sz="4" w:space="0" w:color="auto"/>
              <w:right w:val="single" w:sz="4" w:space="0" w:color="auto"/>
            </w:tcBorders>
            <w:shd w:val="clear" w:color="auto" w:fill="auto"/>
            <w:noWrap/>
            <w:vAlign w:val="bottom"/>
            <w:hideMark/>
          </w:tcPr>
          <w:p w14:paraId="3F587DBB" w14:textId="77777777" w:rsidR="00030DC4" w:rsidRDefault="00030DC4" w:rsidP="00F94995">
            <w:pPr>
              <w:jc w:val="right"/>
              <w:rPr>
                <w:rFonts w:ascii="Calibri" w:hAnsi="Calibri" w:cs="Calibri"/>
                <w:color w:val="000000"/>
                <w:sz w:val="22"/>
                <w:szCs w:val="22"/>
              </w:rPr>
            </w:pPr>
            <w:r>
              <w:rPr>
                <w:rFonts w:ascii="Calibri" w:hAnsi="Calibri" w:cs="Calibri"/>
                <w:color w:val="000000"/>
                <w:sz w:val="22"/>
                <w:szCs w:val="22"/>
              </w:rPr>
              <w:t>0.03875397</w:t>
            </w:r>
          </w:p>
        </w:tc>
      </w:tr>
    </w:tbl>
    <w:p w14:paraId="5FD7C5F9" w14:textId="0049B4EC" w:rsidR="00030DC4" w:rsidRDefault="00030DC4" w:rsidP="00030DC4">
      <w:pPr>
        <w:pStyle w:val="ListParagraph"/>
        <w:spacing w:line="360" w:lineRule="auto"/>
        <w:jc w:val="center"/>
        <w:rPr>
          <w:rFonts w:ascii="Times" w:hAnsi="Times"/>
        </w:rPr>
      </w:pPr>
      <w:r>
        <w:rPr>
          <w:rFonts w:ascii="Times" w:hAnsi="Times"/>
        </w:rPr>
        <w:t xml:space="preserve">Table 4_Minneapolis from </w:t>
      </w:r>
      <w:r>
        <w:rPr>
          <w:rFonts w:ascii="Times" w:hAnsi="Times"/>
        </w:rPr>
        <w:t xml:space="preserve">Q4/2024 </w:t>
      </w:r>
      <w:r w:rsidRPr="0020272F">
        <w:rPr>
          <w:rFonts w:ascii="Times" w:hAnsi="Times"/>
          <w:color w:val="000000" w:themeColor="text1"/>
        </w:rPr>
        <w:t>to Q</w:t>
      </w:r>
      <w:r>
        <w:rPr>
          <w:rFonts w:ascii="Times" w:hAnsi="Times"/>
          <w:color w:val="000000" w:themeColor="text1"/>
        </w:rPr>
        <w:t>4</w:t>
      </w:r>
      <w:r w:rsidRPr="0020272F">
        <w:rPr>
          <w:rFonts w:ascii="Times" w:hAnsi="Times"/>
          <w:color w:val="000000" w:themeColor="text1"/>
        </w:rPr>
        <w:t>/202</w:t>
      </w:r>
      <w:r>
        <w:rPr>
          <w:rFonts w:ascii="Times" w:hAnsi="Times"/>
          <w:color w:val="000000" w:themeColor="text1"/>
        </w:rPr>
        <w:t>8</w:t>
      </w:r>
    </w:p>
    <w:p w14:paraId="73D2B97F" w14:textId="77777777" w:rsidR="00030DC4" w:rsidRDefault="00030DC4" w:rsidP="00030DC4"/>
    <w:p w14:paraId="70FAAD67" w14:textId="77777777" w:rsidR="00030DC4" w:rsidRPr="00914913" w:rsidRDefault="00030DC4" w:rsidP="003F5D06">
      <w:pPr>
        <w:spacing w:line="480" w:lineRule="auto"/>
        <w:jc w:val="both"/>
        <w:rPr>
          <w:rFonts w:ascii="Times" w:hAnsi="Times"/>
        </w:rPr>
      </w:pPr>
    </w:p>
    <w:p w14:paraId="592491F8" w14:textId="77777777" w:rsidR="003F5D06" w:rsidRDefault="003F5D06" w:rsidP="003F5D06">
      <w:pPr>
        <w:pStyle w:val="ListParagraph"/>
        <w:spacing w:line="360" w:lineRule="auto"/>
        <w:jc w:val="both"/>
        <w:rPr>
          <w:rFonts w:ascii="Times" w:hAnsi="Times"/>
        </w:rPr>
      </w:pPr>
    </w:p>
    <w:p w14:paraId="6B00B7E6" w14:textId="77777777" w:rsidR="003F5D06" w:rsidRDefault="003F5D06" w:rsidP="003F5D06">
      <w:pPr>
        <w:pStyle w:val="ListParagraph"/>
        <w:spacing w:line="360" w:lineRule="auto"/>
        <w:jc w:val="both"/>
        <w:rPr>
          <w:rFonts w:ascii="Times" w:hAnsi="Times"/>
        </w:rPr>
      </w:pPr>
    </w:p>
    <w:p w14:paraId="159BE679" w14:textId="77777777" w:rsidR="003F5D06" w:rsidRDefault="003F5D06" w:rsidP="003F5D06">
      <w:pPr>
        <w:pStyle w:val="ListParagraph"/>
        <w:spacing w:line="360" w:lineRule="auto"/>
        <w:jc w:val="both"/>
        <w:rPr>
          <w:rFonts w:ascii="Times" w:hAnsi="Times"/>
          <w:b/>
          <w:bCs/>
        </w:rPr>
      </w:pPr>
      <w:r>
        <w:rPr>
          <w:rFonts w:ascii="Times" w:hAnsi="Times"/>
          <w:b/>
          <w:bCs/>
          <w:noProof/>
        </w:rPr>
        <w:lastRenderedPageBreak/>
        <w:drawing>
          <wp:inline distT="0" distB="0" distL="0" distR="0" wp14:anchorId="0FCFA728" wp14:editId="2C4C5597">
            <wp:extent cx="5486400" cy="3737610"/>
            <wp:effectExtent l="0" t="0" r="0" b="0"/>
            <wp:docPr id="1855494423" name="Picture 45"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4423" name="Picture 45" descr="A graph of blue and orange bars&#10;&#10;Description automatically generated"/>
                    <pic:cNvPicPr/>
                  </pic:nvPicPr>
                  <pic:blipFill>
                    <a:blip r:embed="rId26"/>
                    <a:stretch>
                      <a:fillRect/>
                    </a:stretch>
                  </pic:blipFill>
                  <pic:spPr>
                    <a:xfrm>
                      <a:off x="0" y="0"/>
                      <a:ext cx="5486400" cy="3737610"/>
                    </a:xfrm>
                    <a:prstGeom prst="rect">
                      <a:avLst/>
                    </a:prstGeom>
                  </pic:spPr>
                </pic:pic>
              </a:graphicData>
            </a:graphic>
          </wp:inline>
        </w:drawing>
      </w:r>
    </w:p>
    <w:p w14:paraId="18E5636F" w14:textId="77777777" w:rsidR="003F5D06" w:rsidRDefault="003F5D06" w:rsidP="003F5D06">
      <w:pPr>
        <w:pStyle w:val="ListParagraph"/>
        <w:spacing w:line="360" w:lineRule="auto"/>
        <w:jc w:val="center"/>
        <w:rPr>
          <w:rFonts w:ascii="Times" w:hAnsi="Times"/>
        </w:rPr>
      </w:pPr>
      <w:r w:rsidRPr="0021254F">
        <w:rPr>
          <w:rFonts w:ascii="Times" w:hAnsi="Times"/>
        </w:rPr>
        <w:t xml:space="preserve">Figure 17 – </w:t>
      </w:r>
      <w:proofErr w:type="spellStart"/>
      <w:r w:rsidRPr="0021254F">
        <w:rPr>
          <w:rFonts w:ascii="Times" w:hAnsi="Times"/>
        </w:rPr>
        <w:t>Forcasting_Demand</w:t>
      </w:r>
      <w:proofErr w:type="spellEnd"/>
      <w:r w:rsidRPr="0021254F">
        <w:rPr>
          <w:rFonts w:ascii="Times" w:hAnsi="Times"/>
        </w:rPr>
        <w:t xml:space="preserve"> Units</w:t>
      </w:r>
    </w:p>
    <w:p w14:paraId="33246AFF" w14:textId="77777777" w:rsidR="003F5D06" w:rsidRDefault="003F5D06" w:rsidP="003F5D06">
      <w:pPr>
        <w:pStyle w:val="ListParagraph"/>
        <w:spacing w:line="360" w:lineRule="auto"/>
        <w:jc w:val="center"/>
        <w:rPr>
          <w:rFonts w:ascii="Times" w:hAnsi="Times"/>
        </w:rPr>
      </w:pPr>
    </w:p>
    <w:p w14:paraId="17299207" w14:textId="397B995B" w:rsidR="003F5D06" w:rsidRPr="00914913" w:rsidRDefault="003F5D06" w:rsidP="003F5D06">
      <w:pPr>
        <w:spacing w:line="480" w:lineRule="auto"/>
        <w:jc w:val="both"/>
        <w:rPr>
          <w:rFonts w:ascii="Times" w:hAnsi="Times"/>
        </w:rPr>
      </w:pPr>
      <w:r w:rsidRPr="00914913">
        <w:rPr>
          <w:rFonts w:ascii="Times" w:hAnsi="Times"/>
        </w:rPr>
        <w:t>As forecasting shown in Figure 18</w:t>
      </w:r>
      <w:r w:rsidR="00030DC4">
        <w:rPr>
          <w:rFonts w:ascii="Times" w:hAnsi="Times"/>
        </w:rPr>
        <w:t xml:space="preserve"> and Table 3</w:t>
      </w:r>
      <w:r w:rsidRPr="00914913">
        <w:rPr>
          <w:rFonts w:ascii="Times" w:hAnsi="Times"/>
        </w:rPr>
        <w:t>, Milwaukee has a stable vacancy rate (0.03 in 2029 Q1) that is lower than that of Minneapolis (0.05 in 2029 Q1)</w:t>
      </w:r>
      <w:r w:rsidR="00030DC4">
        <w:rPr>
          <w:rFonts w:ascii="Times" w:hAnsi="Times"/>
        </w:rPr>
        <w:t xml:space="preserve"> (shown in Table 4)</w:t>
      </w:r>
      <w:r w:rsidRPr="00914913">
        <w:rPr>
          <w:rFonts w:ascii="Times" w:hAnsi="Times"/>
        </w:rPr>
        <w:t>. This suggests that Milwaukee has stronger demand relative to supply in the market and less risk of oversupply.</w:t>
      </w:r>
    </w:p>
    <w:p w14:paraId="30D3E4C5" w14:textId="77777777" w:rsidR="003F5D06" w:rsidRDefault="003F5D06" w:rsidP="003F5D06">
      <w:pPr>
        <w:pStyle w:val="ListParagraph"/>
        <w:spacing w:line="480" w:lineRule="auto"/>
        <w:jc w:val="both"/>
        <w:rPr>
          <w:rFonts w:ascii="Times" w:hAnsi="Times"/>
        </w:rPr>
      </w:pPr>
    </w:p>
    <w:p w14:paraId="4BFC2552" w14:textId="77777777" w:rsidR="003F5D06" w:rsidRPr="0021254F" w:rsidRDefault="003F5D06" w:rsidP="003F5D06">
      <w:pPr>
        <w:pStyle w:val="ListParagraph"/>
        <w:spacing w:line="360" w:lineRule="auto"/>
        <w:rPr>
          <w:rFonts w:ascii="Times" w:hAnsi="Times"/>
        </w:rPr>
      </w:pPr>
    </w:p>
    <w:p w14:paraId="233086C5" w14:textId="77777777" w:rsidR="003F5D06" w:rsidRDefault="003F5D06" w:rsidP="003F5D06">
      <w:pPr>
        <w:pStyle w:val="ListParagraph"/>
        <w:spacing w:line="360" w:lineRule="auto"/>
        <w:jc w:val="both"/>
        <w:rPr>
          <w:rFonts w:ascii="Times" w:hAnsi="Times"/>
          <w:b/>
          <w:bCs/>
        </w:rPr>
      </w:pPr>
      <w:r>
        <w:rPr>
          <w:rFonts w:ascii="Times" w:hAnsi="Times"/>
          <w:b/>
          <w:bCs/>
          <w:noProof/>
        </w:rPr>
        <w:lastRenderedPageBreak/>
        <w:drawing>
          <wp:inline distT="0" distB="0" distL="0" distR="0" wp14:anchorId="077C5435" wp14:editId="47B71A45">
            <wp:extent cx="4467092" cy="3044757"/>
            <wp:effectExtent l="0" t="0" r="3810" b="3810"/>
            <wp:docPr id="1800756923" name="Picture 4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6923" name="Picture 46" descr="A graph of a number of people&#10;&#10;Description automatically generated with medium confidence"/>
                    <pic:cNvPicPr/>
                  </pic:nvPicPr>
                  <pic:blipFill>
                    <a:blip r:embed="rId27"/>
                    <a:stretch>
                      <a:fillRect/>
                    </a:stretch>
                  </pic:blipFill>
                  <pic:spPr>
                    <a:xfrm>
                      <a:off x="0" y="0"/>
                      <a:ext cx="4535233" cy="3091202"/>
                    </a:xfrm>
                    <a:prstGeom prst="rect">
                      <a:avLst/>
                    </a:prstGeom>
                  </pic:spPr>
                </pic:pic>
              </a:graphicData>
            </a:graphic>
          </wp:inline>
        </w:drawing>
      </w:r>
    </w:p>
    <w:p w14:paraId="17AEEE17" w14:textId="77777777" w:rsidR="003F5D06" w:rsidRPr="0021254F" w:rsidRDefault="003F5D06" w:rsidP="003F5D06">
      <w:pPr>
        <w:pStyle w:val="ListParagraph"/>
        <w:spacing w:line="360" w:lineRule="auto"/>
        <w:jc w:val="center"/>
        <w:rPr>
          <w:rFonts w:ascii="Times" w:hAnsi="Times"/>
        </w:rPr>
      </w:pPr>
      <w:r w:rsidRPr="0021254F">
        <w:rPr>
          <w:rFonts w:ascii="Times" w:hAnsi="Times"/>
        </w:rPr>
        <w:t>Figure 18 – Forecasting Stabilized Vacancy</w:t>
      </w:r>
    </w:p>
    <w:p w14:paraId="2CF09683" w14:textId="77777777" w:rsidR="003F5D06" w:rsidRDefault="003F5D06" w:rsidP="003F5D06">
      <w:pPr>
        <w:pStyle w:val="ListParagraph"/>
        <w:spacing w:line="360" w:lineRule="auto"/>
        <w:jc w:val="both"/>
        <w:rPr>
          <w:rFonts w:ascii="Times" w:hAnsi="Times"/>
        </w:rPr>
      </w:pPr>
    </w:p>
    <w:p w14:paraId="24CAF53C" w14:textId="26986AB7" w:rsidR="003F5D06" w:rsidRPr="00B67C31" w:rsidRDefault="003F784E" w:rsidP="003F5D06">
      <w:pPr>
        <w:spacing w:line="480" w:lineRule="auto"/>
        <w:jc w:val="both"/>
        <w:rPr>
          <w:rFonts w:ascii="Times" w:hAnsi="Times"/>
        </w:rPr>
      </w:pPr>
      <w:r>
        <w:rPr>
          <w:rFonts w:ascii="Times" w:hAnsi="Times"/>
        </w:rPr>
        <w:t xml:space="preserve">As we can see, in the housing market, </w:t>
      </w:r>
      <w:r w:rsidR="003F5D06" w:rsidRPr="00914913">
        <w:rPr>
          <w:rFonts w:ascii="Times" w:hAnsi="Times"/>
        </w:rPr>
        <w:t xml:space="preserve">both Milwaukee and Minneapolis </w:t>
      </w:r>
      <w:r>
        <w:rPr>
          <w:rFonts w:ascii="Times" w:hAnsi="Times"/>
        </w:rPr>
        <w:t>are very</w:t>
      </w:r>
      <w:r w:rsidR="003F5D06" w:rsidRPr="00914913">
        <w:rPr>
          <w:rFonts w:ascii="Times" w:hAnsi="Times"/>
        </w:rPr>
        <w:t xml:space="preserve"> competitive</w:t>
      </w:r>
      <w:r>
        <w:rPr>
          <w:rFonts w:ascii="Times" w:hAnsi="Times"/>
        </w:rPr>
        <w:t>.</w:t>
      </w:r>
      <w:r w:rsidR="003F5D06" w:rsidRPr="00914913">
        <w:rPr>
          <w:rFonts w:ascii="Times" w:hAnsi="Times"/>
        </w:rPr>
        <w:t xml:space="preserve"> Milwaukee </w:t>
      </w:r>
      <w:r>
        <w:rPr>
          <w:rFonts w:ascii="Times" w:hAnsi="Times"/>
        </w:rPr>
        <w:t xml:space="preserve">tends to </w:t>
      </w:r>
      <w:r w:rsidR="003F5D06" w:rsidRPr="00914913">
        <w:rPr>
          <w:rFonts w:ascii="Times" w:hAnsi="Times"/>
        </w:rPr>
        <w:t xml:space="preserve">offer more affordable with lower median home prices and faster appreciation rates. This </w:t>
      </w:r>
      <w:r>
        <w:rPr>
          <w:rFonts w:ascii="Times" w:hAnsi="Times"/>
        </w:rPr>
        <w:t>will be</w:t>
      </w:r>
      <w:r w:rsidR="003F5D06" w:rsidRPr="00914913">
        <w:rPr>
          <w:rFonts w:ascii="Times" w:hAnsi="Times"/>
        </w:rPr>
        <w:t xml:space="preserve"> </w:t>
      </w:r>
      <w:r>
        <w:rPr>
          <w:rFonts w:ascii="Times" w:hAnsi="Times"/>
        </w:rPr>
        <w:t xml:space="preserve">an </w:t>
      </w:r>
      <w:r w:rsidR="003F5D06" w:rsidRPr="00914913">
        <w:rPr>
          <w:rFonts w:ascii="Times" w:hAnsi="Times"/>
        </w:rPr>
        <w:t xml:space="preserve">attractive option for first-time homebuyers and investors looking for growth potential. However, </w:t>
      </w:r>
      <w:r>
        <w:rPr>
          <w:rFonts w:ascii="Times" w:hAnsi="Times"/>
        </w:rPr>
        <w:t xml:space="preserve">with the </w:t>
      </w:r>
      <w:r w:rsidR="003F5D06" w:rsidRPr="00914913">
        <w:rPr>
          <w:rFonts w:ascii="Times" w:hAnsi="Times"/>
        </w:rPr>
        <w:t>more expensive market with strong economic fundamentals</w:t>
      </w:r>
      <w:r>
        <w:rPr>
          <w:rFonts w:ascii="Times" w:hAnsi="Times"/>
        </w:rPr>
        <w:t>,</w:t>
      </w:r>
      <w:r w:rsidR="003F5D06" w:rsidRPr="00914913">
        <w:rPr>
          <w:rFonts w:ascii="Times" w:hAnsi="Times"/>
        </w:rPr>
        <w:t xml:space="preserve"> </w:t>
      </w:r>
      <w:r>
        <w:rPr>
          <w:rFonts w:ascii="Times" w:hAnsi="Times"/>
        </w:rPr>
        <w:t xml:space="preserve">Minneapolis will </w:t>
      </w:r>
      <w:r w:rsidR="003F5D06" w:rsidRPr="00914913">
        <w:rPr>
          <w:rFonts w:ascii="Times" w:hAnsi="Times"/>
        </w:rPr>
        <w:t>appeal to buyers seeking long-term stability and growth.</w:t>
      </w:r>
    </w:p>
    <w:p w14:paraId="192EC9E1" w14:textId="2AAC4FB4" w:rsidR="003F5D06" w:rsidRDefault="007A668C" w:rsidP="003F5D06">
      <w:pPr>
        <w:spacing w:line="360" w:lineRule="auto"/>
        <w:jc w:val="both"/>
        <w:rPr>
          <w:rFonts w:ascii="Times" w:hAnsi="Times"/>
          <w:b/>
          <w:bCs/>
        </w:rPr>
      </w:pPr>
      <w:r>
        <w:rPr>
          <w:rFonts w:ascii="Times" w:eastAsiaTheme="majorEastAsia" w:hAnsi="Times"/>
          <w:b/>
          <w:bCs/>
        </w:rPr>
        <w:t>5</w:t>
      </w:r>
      <w:r w:rsidR="003F5D06" w:rsidRPr="00B67C31">
        <w:rPr>
          <w:rFonts w:ascii="Times" w:eastAsiaTheme="majorEastAsia" w:hAnsi="Times"/>
          <w:b/>
          <w:bCs/>
        </w:rPr>
        <w:t>. Conclusion</w:t>
      </w:r>
    </w:p>
    <w:p w14:paraId="25FA7F65" w14:textId="469C9435" w:rsidR="003F5D06" w:rsidRDefault="003E0FBD" w:rsidP="003F5D06">
      <w:pPr>
        <w:spacing w:line="480" w:lineRule="auto"/>
        <w:jc w:val="both"/>
        <w:rPr>
          <w:rFonts w:ascii="Times" w:hAnsi="Times"/>
        </w:rPr>
      </w:pPr>
      <w:r>
        <w:rPr>
          <w:rFonts w:ascii="Times" w:hAnsi="Times"/>
        </w:rPr>
        <w:t xml:space="preserve">For investors in the multifamily housing market, </w:t>
      </w:r>
      <w:r w:rsidR="003F5D06">
        <w:rPr>
          <w:rFonts w:ascii="Times" w:hAnsi="Times"/>
        </w:rPr>
        <w:t xml:space="preserve">Milwaukee and Minneapolis </w:t>
      </w:r>
      <w:r w:rsidR="007A668C">
        <w:rPr>
          <w:rFonts w:ascii="Times" w:hAnsi="Times"/>
        </w:rPr>
        <w:t xml:space="preserve">offer </w:t>
      </w:r>
      <w:r>
        <w:rPr>
          <w:rFonts w:ascii="Times" w:hAnsi="Times"/>
        </w:rPr>
        <w:t xml:space="preserve">different </w:t>
      </w:r>
      <w:r w:rsidR="003F5D06">
        <w:rPr>
          <w:rFonts w:ascii="Times" w:hAnsi="Times"/>
        </w:rPr>
        <w:t>opportunities and challenges</w:t>
      </w:r>
      <w:r w:rsidR="004C5F94">
        <w:rPr>
          <w:rFonts w:ascii="Times" w:hAnsi="Times"/>
        </w:rPr>
        <w:t xml:space="preserve">. </w:t>
      </w:r>
      <w:r w:rsidR="007A668C">
        <w:rPr>
          <w:rFonts w:ascii="Times" w:hAnsi="Times"/>
        </w:rPr>
        <w:t xml:space="preserve">Because of higher median salaries and levels of educational attainment, </w:t>
      </w:r>
      <w:r>
        <w:rPr>
          <w:rFonts w:ascii="Times" w:hAnsi="Times"/>
        </w:rPr>
        <w:t>Minneapolis is a particularly attractive choice for investors looking to target higher-income renters</w:t>
      </w:r>
      <w:r w:rsidR="007A668C">
        <w:rPr>
          <w:rFonts w:ascii="Times" w:hAnsi="Times"/>
        </w:rPr>
        <w:t xml:space="preserve">. </w:t>
      </w:r>
      <w:r w:rsidR="00087FA5">
        <w:rPr>
          <w:rFonts w:ascii="Times" w:hAnsi="Times"/>
        </w:rPr>
        <w:t>Additionally</w:t>
      </w:r>
      <w:r w:rsidR="004C5F94">
        <w:rPr>
          <w:rFonts w:ascii="Times" w:hAnsi="Times"/>
        </w:rPr>
        <w:t>, the</w:t>
      </w:r>
      <w:r w:rsidR="003F5D06">
        <w:rPr>
          <w:rFonts w:ascii="Times" w:hAnsi="Times"/>
        </w:rPr>
        <w:t xml:space="preserve"> strong employment rate</w:t>
      </w:r>
      <w:r w:rsidR="007A668C">
        <w:rPr>
          <w:rFonts w:ascii="Times" w:hAnsi="Times"/>
        </w:rPr>
        <w:t xml:space="preserve"> of Minneapolis</w:t>
      </w:r>
      <w:r w:rsidR="003F5D06">
        <w:rPr>
          <w:rFonts w:ascii="Times" w:hAnsi="Times"/>
        </w:rPr>
        <w:t xml:space="preserve"> also </w:t>
      </w:r>
      <w:r>
        <w:rPr>
          <w:rFonts w:ascii="Times" w:hAnsi="Times"/>
        </w:rPr>
        <w:t>indicates</w:t>
      </w:r>
      <w:r w:rsidR="003F5D06">
        <w:rPr>
          <w:rFonts w:ascii="Times" w:hAnsi="Times"/>
        </w:rPr>
        <w:t xml:space="preserve"> a </w:t>
      </w:r>
      <w:r w:rsidR="00087FA5">
        <w:rPr>
          <w:rFonts w:ascii="Times" w:hAnsi="Times"/>
        </w:rPr>
        <w:t>healthy</w:t>
      </w:r>
      <w:r w:rsidR="003F5D06">
        <w:rPr>
          <w:rFonts w:ascii="Times" w:hAnsi="Times"/>
        </w:rPr>
        <w:t xml:space="preserve"> job market that supports </w:t>
      </w:r>
      <w:r w:rsidR="00087FA5">
        <w:rPr>
          <w:rFonts w:ascii="Times" w:hAnsi="Times"/>
        </w:rPr>
        <w:t xml:space="preserve">sustained </w:t>
      </w:r>
      <w:r w:rsidR="003F5D06">
        <w:rPr>
          <w:rFonts w:ascii="Times" w:hAnsi="Times"/>
        </w:rPr>
        <w:t>rental demand</w:t>
      </w:r>
      <w:r w:rsidR="00087FA5">
        <w:rPr>
          <w:rFonts w:ascii="Times" w:hAnsi="Times"/>
        </w:rPr>
        <w:t xml:space="preserve"> and </w:t>
      </w:r>
      <w:r>
        <w:rPr>
          <w:rFonts w:ascii="Times" w:hAnsi="Times"/>
        </w:rPr>
        <w:t xml:space="preserve">the </w:t>
      </w:r>
      <w:r w:rsidR="00087FA5">
        <w:rPr>
          <w:rFonts w:ascii="Times" w:hAnsi="Times"/>
        </w:rPr>
        <w:t xml:space="preserve">potential for stable and </w:t>
      </w:r>
      <w:r w:rsidR="003F5D06">
        <w:rPr>
          <w:rFonts w:ascii="Times" w:hAnsi="Times"/>
        </w:rPr>
        <w:t>long-term returns.</w:t>
      </w:r>
    </w:p>
    <w:p w14:paraId="15F616D7" w14:textId="6DCBFD40" w:rsidR="003F5D06" w:rsidRDefault="00087FA5" w:rsidP="003F5D06">
      <w:pPr>
        <w:spacing w:line="480" w:lineRule="auto"/>
        <w:jc w:val="both"/>
        <w:rPr>
          <w:rFonts w:ascii="Times" w:hAnsi="Times"/>
        </w:rPr>
      </w:pPr>
      <w:r>
        <w:rPr>
          <w:rFonts w:ascii="Times" w:hAnsi="Times"/>
        </w:rPr>
        <w:lastRenderedPageBreak/>
        <w:t>On the other hand,</w:t>
      </w:r>
      <w:r w:rsidR="003F5D06">
        <w:rPr>
          <w:rFonts w:ascii="Times" w:hAnsi="Times"/>
        </w:rPr>
        <w:t xml:space="preserve"> </w:t>
      </w:r>
      <w:r w:rsidR="007A668C">
        <w:rPr>
          <w:rFonts w:ascii="Times" w:hAnsi="Times"/>
        </w:rPr>
        <w:t xml:space="preserve">due to greater housing supply and more affordable property prices, </w:t>
      </w:r>
      <w:r w:rsidR="003E0FBD">
        <w:rPr>
          <w:rFonts w:ascii="Times" w:hAnsi="Times"/>
        </w:rPr>
        <w:t>Milwaukee attracts investors looking for value-added opportunities in the mul</w:t>
      </w:r>
      <w:r w:rsidR="00FB720D">
        <w:rPr>
          <w:rFonts w:ascii="Times" w:hAnsi="Times"/>
        </w:rPr>
        <w:t>tifamily sector</w:t>
      </w:r>
      <w:r w:rsidR="007A668C">
        <w:rPr>
          <w:rFonts w:ascii="Times" w:hAnsi="Times"/>
        </w:rPr>
        <w:t xml:space="preserve">. </w:t>
      </w:r>
      <w:r>
        <w:rPr>
          <w:rFonts w:ascii="Times" w:hAnsi="Times"/>
        </w:rPr>
        <w:t xml:space="preserve">While </w:t>
      </w:r>
      <w:r w:rsidR="007A668C">
        <w:rPr>
          <w:rFonts w:ascii="Times" w:hAnsi="Times"/>
        </w:rPr>
        <w:t>Milwaukee C</w:t>
      </w:r>
      <w:r>
        <w:rPr>
          <w:rFonts w:ascii="Times" w:hAnsi="Times"/>
        </w:rPr>
        <w:t xml:space="preserve">ity faces demographic challenges such as population decline and lower median incomes, its affordability and potential for property upgrades position it as a strong option for </w:t>
      </w:r>
      <w:r w:rsidR="003F5D06">
        <w:rPr>
          <w:rFonts w:ascii="Times" w:hAnsi="Times"/>
        </w:rPr>
        <w:t>those focused on cost-effective acquisitions.</w:t>
      </w:r>
    </w:p>
    <w:p w14:paraId="1CD70515" w14:textId="653A7D29" w:rsidR="003F5D06" w:rsidRDefault="003F5D06" w:rsidP="003F5D06">
      <w:pPr>
        <w:spacing w:line="480" w:lineRule="auto"/>
        <w:jc w:val="both"/>
        <w:rPr>
          <w:rFonts w:ascii="Times" w:hAnsi="Times"/>
        </w:rPr>
      </w:pPr>
      <w:r>
        <w:rPr>
          <w:rFonts w:ascii="Times" w:hAnsi="Times"/>
        </w:rPr>
        <w:t>For investors focused on higher income potential and a dynamic economic environment, Minneapolis is the preferable</w:t>
      </w:r>
      <w:r w:rsidR="004C5F94">
        <w:rPr>
          <w:rFonts w:ascii="Times" w:hAnsi="Times"/>
        </w:rPr>
        <w:t xml:space="preserve"> option</w:t>
      </w:r>
      <w:r>
        <w:rPr>
          <w:rFonts w:ascii="Times" w:hAnsi="Times"/>
        </w:rPr>
        <w:t xml:space="preserve">. However, </w:t>
      </w:r>
      <w:r w:rsidR="003E0FBD">
        <w:rPr>
          <w:rFonts w:ascii="Times" w:hAnsi="Times"/>
        </w:rPr>
        <w:t xml:space="preserve">if investors </w:t>
      </w:r>
      <w:r w:rsidR="004C5F94">
        <w:rPr>
          <w:rFonts w:ascii="Times" w:hAnsi="Times"/>
        </w:rPr>
        <w:t>prioritiz</w:t>
      </w:r>
      <w:r w:rsidR="003E0FBD">
        <w:rPr>
          <w:rFonts w:ascii="Times" w:hAnsi="Times"/>
        </w:rPr>
        <w:t>e</w:t>
      </w:r>
      <w:r w:rsidR="004C5F94">
        <w:rPr>
          <w:rFonts w:ascii="Times" w:hAnsi="Times"/>
        </w:rPr>
        <w:t xml:space="preserve"> </w:t>
      </w:r>
      <w:r>
        <w:rPr>
          <w:rFonts w:ascii="Times" w:hAnsi="Times"/>
        </w:rPr>
        <w:t xml:space="preserve">affordability, </w:t>
      </w:r>
      <w:r w:rsidR="00087FA5">
        <w:rPr>
          <w:rFonts w:ascii="Times" w:hAnsi="Times"/>
        </w:rPr>
        <w:t>a broader range of properties,</w:t>
      </w:r>
      <w:r w:rsidR="004C5F94">
        <w:rPr>
          <w:rFonts w:ascii="Times" w:hAnsi="Times"/>
        </w:rPr>
        <w:t xml:space="preserve"> </w:t>
      </w:r>
      <w:r>
        <w:rPr>
          <w:rFonts w:ascii="Times" w:hAnsi="Times"/>
        </w:rPr>
        <w:t xml:space="preserve">and the </w:t>
      </w:r>
      <w:r w:rsidR="004C5F94">
        <w:rPr>
          <w:rFonts w:ascii="Times" w:hAnsi="Times"/>
        </w:rPr>
        <w:t>opportunity</w:t>
      </w:r>
      <w:r>
        <w:rPr>
          <w:rFonts w:ascii="Times" w:hAnsi="Times"/>
        </w:rPr>
        <w:t xml:space="preserve"> to </w:t>
      </w:r>
      <w:r w:rsidR="004C5F94">
        <w:rPr>
          <w:rFonts w:ascii="Times" w:hAnsi="Times"/>
        </w:rPr>
        <w:t>enhance property</w:t>
      </w:r>
      <w:r>
        <w:rPr>
          <w:rFonts w:ascii="Times" w:hAnsi="Times"/>
        </w:rPr>
        <w:t xml:space="preserve"> value</w:t>
      </w:r>
      <w:r w:rsidR="003E0FBD">
        <w:rPr>
          <w:rFonts w:ascii="Times" w:hAnsi="Times"/>
        </w:rPr>
        <w:t>, Milwaukee</w:t>
      </w:r>
      <w:r w:rsidR="004C5F94">
        <w:rPr>
          <w:rFonts w:ascii="Times" w:hAnsi="Times"/>
        </w:rPr>
        <w:t xml:space="preserve"> will </w:t>
      </w:r>
      <w:r w:rsidR="003E0FBD">
        <w:rPr>
          <w:rFonts w:ascii="Times" w:hAnsi="Times"/>
        </w:rPr>
        <w:t xml:space="preserve">be a compelling market. </w:t>
      </w:r>
    </w:p>
    <w:p w14:paraId="7FEABB56" w14:textId="7F1C7011" w:rsidR="003F5D06" w:rsidRPr="0095282C" w:rsidRDefault="007A668C" w:rsidP="003F5D06">
      <w:pPr>
        <w:spacing w:line="480" w:lineRule="auto"/>
        <w:jc w:val="both"/>
        <w:rPr>
          <w:rFonts w:ascii="Times" w:hAnsi="Times"/>
        </w:rPr>
      </w:pPr>
      <w:r>
        <w:rPr>
          <w:rFonts w:ascii="Times" w:hAnsi="Times"/>
        </w:rPr>
        <w:t>As a result, i</w:t>
      </w:r>
      <w:r w:rsidR="004C5F94">
        <w:rPr>
          <w:rFonts w:ascii="Times" w:hAnsi="Times"/>
        </w:rPr>
        <w:t>nvestors should carefully consider the objectives</w:t>
      </w:r>
      <w:r w:rsidR="00087FA5">
        <w:rPr>
          <w:rFonts w:ascii="Times" w:hAnsi="Times"/>
        </w:rPr>
        <w:t>, goals,</w:t>
      </w:r>
      <w:r w:rsidR="004C5F94">
        <w:rPr>
          <w:rFonts w:ascii="Times" w:hAnsi="Times"/>
        </w:rPr>
        <w:t xml:space="preserve"> and market conditions </w:t>
      </w:r>
      <w:r w:rsidR="00087FA5">
        <w:rPr>
          <w:rFonts w:ascii="Times" w:hAnsi="Times"/>
        </w:rPr>
        <w:t xml:space="preserve">of each city before </w:t>
      </w:r>
      <w:proofErr w:type="gramStart"/>
      <w:r w:rsidR="00087FA5">
        <w:rPr>
          <w:rFonts w:ascii="Times" w:hAnsi="Times"/>
        </w:rPr>
        <w:t>making a decision</w:t>
      </w:r>
      <w:proofErr w:type="gramEnd"/>
      <w:r w:rsidR="00087FA5">
        <w:rPr>
          <w:rFonts w:ascii="Times" w:hAnsi="Times"/>
        </w:rPr>
        <w:t>.</w:t>
      </w:r>
    </w:p>
    <w:p w14:paraId="5F5D90B8" w14:textId="67E0BCA2" w:rsidR="003F5D06" w:rsidRPr="00030DC4" w:rsidRDefault="003F5D06" w:rsidP="00030DC4">
      <w:pPr>
        <w:spacing w:line="480" w:lineRule="auto"/>
        <w:rPr>
          <w:rFonts w:ascii="Times" w:hAnsi="Times"/>
          <w:b/>
          <w:bCs/>
        </w:rPr>
      </w:pPr>
    </w:p>
    <w:sectPr w:rsidR="003F5D06" w:rsidRPr="00030DC4" w:rsidSect="003F5D06">
      <w:headerReference w:type="default" r:id="rId28"/>
      <w:footerReference w:type="even" r:id="rId29"/>
      <w:footerReference w:type="default" r:id="rId3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943450" w14:textId="77777777" w:rsidR="006541EB" w:rsidRDefault="006541EB" w:rsidP="003F5D06">
      <w:r>
        <w:separator/>
      </w:r>
    </w:p>
  </w:endnote>
  <w:endnote w:type="continuationSeparator" w:id="0">
    <w:p w14:paraId="0FA04E44" w14:textId="77777777" w:rsidR="006541EB" w:rsidRDefault="006541EB" w:rsidP="003F5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w:altName w:val="Times New Roman"/>
    <w:panose1 w:val="020B0604020202020204"/>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6BE7F" w14:textId="77777777" w:rsidR="00000000" w:rsidRDefault="00000000" w:rsidP="00A173B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5E6C9B5"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B2655" w14:textId="77777777" w:rsidR="00000000" w:rsidRPr="005C307F" w:rsidRDefault="00000000" w:rsidP="00A173B4">
    <w:pPr>
      <w:pStyle w:val="Footer"/>
      <w:framePr w:wrap="around" w:vAnchor="text" w:hAnchor="margin" w:xAlign="center" w:y="1"/>
      <w:rPr>
        <w:rStyle w:val="PageNumber"/>
      </w:rPr>
    </w:pPr>
    <w:r w:rsidRPr="005C307F">
      <w:rPr>
        <w:rStyle w:val="PageNumber"/>
        <w:rFonts w:ascii="Times New Roman" w:hAnsi="Times New Roman"/>
      </w:rPr>
      <w:fldChar w:fldCharType="begin"/>
    </w:r>
    <w:r w:rsidRPr="005C307F">
      <w:rPr>
        <w:rStyle w:val="PageNumber"/>
        <w:rFonts w:ascii="Times New Roman" w:hAnsi="Times New Roman"/>
      </w:rPr>
      <w:instrText xml:space="preserve">PAGE  </w:instrText>
    </w:r>
    <w:r w:rsidRPr="005C307F">
      <w:rPr>
        <w:rStyle w:val="PageNumber"/>
        <w:rFonts w:ascii="Times New Roman" w:hAnsi="Times New Roman"/>
      </w:rPr>
      <w:fldChar w:fldCharType="separate"/>
    </w:r>
    <w:r>
      <w:rPr>
        <w:rStyle w:val="PageNumber"/>
        <w:rFonts w:ascii="Times New Roman" w:hAnsi="Times New Roman"/>
        <w:noProof/>
      </w:rPr>
      <w:t>2</w:t>
    </w:r>
    <w:r w:rsidRPr="005C307F">
      <w:rPr>
        <w:rStyle w:val="PageNumber"/>
        <w:rFonts w:ascii="Times New Roman" w:hAnsi="Times New Roman"/>
      </w:rPr>
      <w:fldChar w:fldCharType="end"/>
    </w:r>
  </w:p>
  <w:p w14:paraId="5F8A8190"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64B05A" w14:textId="77777777" w:rsidR="006541EB" w:rsidRDefault="006541EB" w:rsidP="003F5D06">
      <w:r>
        <w:separator/>
      </w:r>
    </w:p>
  </w:footnote>
  <w:footnote w:type="continuationSeparator" w:id="0">
    <w:p w14:paraId="357BE344" w14:textId="77777777" w:rsidR="006541EB" w:rsidRDefault="006541EB" w:rsidP="003F5D06">
      <w:r>
        <w:continuationSeparator/>
      </w:r>
    </w:p>
  </w:footnote>
  <w:footnote w:id="1">
    <w:p w14:paraId="5950183B" w14:textId="77777777" w:rsidR="003F5D06" w:rsidRDefault="003F5D06" w:rsidP="003F5D06">
      <w:pPr>
        <w:pStyle w:val="FootnoteText"/>
      </w:pPr>
      <w:r>
        <w:rPr>
          <w:rStyle w:val="FootnoteReference"/>
        </w:rPr>
        <w:footnoteRef/>
      </w:r>
      <w:r>
        <w:t xml:space="preserve"> </w:t>
      </w:r>
      <w:r w:rsidRPr="000E44C3">
        <w:t>https://www.jpmorgan.com/insights/real-estate/commercial-term-lending/minneapolis-multifamily-market-outlook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E665A" w14:textId="77777777" w:rsidR="00000000" w:rsidRPr="002D1C6F" w:rsidRDefault="00000000" w:rsidP="002D1C6F">
    <w:pPr>
      <w:pStyle w:val="Header"/>
      <w:rPr>
        <w:rFonts w:ascii="Times New Roman" w:hAnsi="Times New Roman"/>
        <w:b/>
      </w:rPr>
    </w:pPr>
    <w:r w:rsidRPr="002D1C6F">
      <w:rPr>
        <w:rFonts w:ascii="Times New Roman" w:hAnsi="Times New Roman"/>
        <w:b/>
      </w:rPr>
      <w:t>R</w:t>
    </w:r>
    <w:r w:rsidRPr="002D1C6F">
      <w:rPr>
        <w:rFonts w:ascii="Times New Roman" w:hAnsi="Times New Roman"/>
        <w:b/>
      </w:rPr>
      <w:t>E</w:t>
    </w:r>
    <w:r>
      <w:rPr>
        <w:rFonts w:ascii="Times New Roman" w:hAnsi="Times New Roman"/>
        <w:b/>
      </w:rPr>
      <w:t>573</w:t>
    </w:r>
    <w:r w:rsidRPr="002D1C6F">
      <w:rPr>
        <w:rFonts w:ascii="Times New Roman" w:hAnsi="Times New Roman"/>
        <w:b/>
      </w:rPr>
      <w:tab/>
    </w:r>
    <w:r w:rsidRPr="002D1C6F">
      <w:rPr>
        <w:rFonts w:ascii="Times New Roman" w:hAnsi="Times New Roman"/>
        <w:b/>
      </w:rPr>
      <w:tab/>
      <w:t xml:space="preserve">Project </w:t>
    </w:r>
    <w:r>
      <w:rPr>
        <w:rFonts w:ascii="Times New Roman" w:hAnsi="Times New Roman"/>
        <w:b/>
      </w:rPr>
      <w:t>2</w:t>
    </w:r>
  </w:p>
  <w:p w14:paraId="53697026" w14:textId="77777777" w:rsidR="00000000" w:rsidRPr="002D1C6F" w:rsidRDefault="00000000" w:rsidP="002D1C6F">
    <w:pPr>
      <w:pStyle w:val="Header"/>
      <w:rPr>
        <w:rFonts w:ascii="Times New Roman" w:hAnsi="Times New Roman"/>
        <w:b/>
      </w:rPr>
    </w:pPr>
    <w:r>
      <w:rPr>
        <w:rFonts w:ascii="Times New Roman" w:hAnsi="Times New Roman"/>
        <w:b/>
      </w:rPr>
      <w:t>RE Econ</w:t>
    </w:r>
    <w:r>
      <w:rPr>
        <w:rFonts w:ascii="Times New Roman" w:hAnsi="Times New Roman"/>
        <w:b/>
      </w:rPr>
      <w:t xml:space="preserve"> </w:t>
    </w:r>
    <w:r>
      <w:rPr>
        <w:rFonts w:ascii="Times New Roman" w:hAnsi="Times New Roman"/>
        <w:b/>
      </w:rPr>
      <w:t>&amp; Market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B0B9B"/>
    <w:multiLevelType w:val="hybridMultilevel"/>
    <w:tmpl w:val="CF0ED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E10F8"/>
    <w:multiLevelType w:val="multilevel"/>
    <w:tmpl w:val="52B43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25B86"/>
    <w:multiLevelType w:val="multilevel"/>
    <w:tmpl w:val="BAF03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AA6D85"/>
    <w:multiLevelType w:val="multilevel"/>
    <w:tmpl w:val="9BBE4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D706D"/>
    <w:multiLevelType w:val="multilevel"/>
    <w:tmpl w:val="9182A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B0CB6"/>
    <w:multiLevelType w:val="multilevel"/>
    <w:tmpl w:val="C2E8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6D3C6A"/>
    <w:multiLevelType w:val="hybridMultilevel"/>
    <w:tmpl w:val="E5FA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02693"/>
    <w:multiLevelType w:val="hybridMultilevel"/>
    <w:tmpl w:val="89D650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679D2"/>
    <w:multiLevelType w:val="multilevel"/>
    <w:tmpl w:val="66125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B1F95"/>
    <w:multiLevelType w:val="hybridMultilevel"/>
    <w:tmpl w:val="A2B6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B525D"/>
    <w:multiLevelType w:val="multilevel"/>
    <w:tmpl w:val="117C1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A7060"/>
    <w:multiLevelType w:val="hybridMultilevel"/>
    <w:tmpl w:val="B7C48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C27E0B"/>
    <w:multiLevelType w:val="hybridMultilevel"/>
    <w:tmpl w:val="F2A2E8D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567622"/>
    <w:multiLevelType w:val="hybridMultilevel"/>
    <w:tmpl w:val="B1A6D1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AB2A72"/>
    <w:multiLevelType w:val="hybridMultilevel"/>
    <w:tmpl w:val="1DA4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711F1"/>
    <w:multiLevelType w:val="hybridMultilevel"/>
    <w:tmpl w:val="08B8C2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D72636"/>
    <w:multiLevelType w:val="multilevel"/>
    <w:tmpl w:val="2160E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3815BA"/>
    <w:multiLevelType w:val="multilevel"/>
    <w:tmpl w:val="50AA0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A50F43"/>
    <w:multiLevelType w:val="multilevel"/>
    <w:tmpl w:val="6CAE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7D41A0"/>
    <w:multiLevelType w:val="hybridMultilevel"/>
    <w:tmpl w:val="CEA88A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557EE3"/>
    <w:multiLevelType w:val="hybridMultilevel"/>
    <w:tmpl w:val="1E2E3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BA70BD3"/>
    <w:multiLevelType w:val="hybridMultilevel"/>
    <w:tmpl w:val="7ACEA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9B17C5"/>
    <w:multiLevelType w:val="multilevel"/>
    <w:tmpl w:val="158E6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E92349"/>
    <w:multiLevelType w:val="hybridMultilevel"/>
    <w:tmpl w:val="197E6E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50058459">
    <w:abstractNumId w:val="15"/>
  </w:num>
  <w:num w:numId="2" w16cid:durableId="201796514">
    <w:abstractNumId w:val="13"/>
  </w:num>
  <w:num w:numId="3" w16cid:durableId="473107553">
    <w:abstractNumId w:val="9"/>
  </w:num>
  <w:num w:numId="4" w16cid:durableId="103615520">
    <w:abstractNumId w:val="7"/>
  </w:num>
  <w:num w:numId="5" w16cid:durableId="2113279046">
    <w:abstractNumId w:val="21"/>
  </w:num>
  <w:num w:numId="6" w16cid:durableId="1578704151">
    <w:abstractNumId w:val="20"/>
  </w:num>
  <w:num w:numId="7" w16cid:durableId="1724987931">
    <w:abstractNumId w:val="19"/>
  </w:num>
  <w:num w:numId="8" w16cid:durableId="583994800">
    <w:abstractNumId w:val="14"/>
  </w:num>
  <w:num w:numId="9" w16cid:durableId="999427496">
    <w:abstractNumId w:val="6"/>
  </w:num>
  <w:num w:numId="10" w16cid:durableId="1906182494">
    <w:abstractNumId w:val="4"/>
  </w:num>
  <w:num w:numId="11" w16cid:durableId="615872277">
    <w:abstractNumId w:val="5"/>
  </w:num>
  <w:num w:numId="12" w16cid:durableId="816454997">
    <w:abstractNumId w:val="17"/>
  </w:num>
  <w:num w:numId="13" w16cid:durableId="237253158">
    <w:abstractNumId w:val="18"/>
  </w:num>
  <w:num w:numId="14" w16cid:durableId="1764491700">
    <w:abstractNumId w:val="1"/>
  </w:num>
  <w:num w:numId="15" w16cid:durableId="2558652">
    <w:abstractNumId w:val="22"/>
  </w:num>
  <w:num w:numId="16" w16cid:durableId="373312865">
    <w:abstractNumId w:val="3"/>
  </w:num>
  <w:num w:numId="17" w16cid:durableId="1651783176">
    <w:abstractNumId w:val="16"/>
  </w:num>
  <w:num w:numId="18" w16cid:durableId="759184128">
    <w:abstractNumId w:val="2"/>
  </w:num>
  <w:num w:numId="19" w16cid:durableId="943532875">
    <w:abstractNumId w:val="10"/>
  </w:num>
  <w:num w:numId="20" w16cid:durableId="1567297098">
    <w:abstractNumId w:val="8"/>
  </w:num>
  <w:num w:numId="21" w16cid:durableId="1528248867">
    <w:abstractNumId w:val="23"/>
  </w:num>
  <w:num w:numId="22" w16cid:durableId="43213718">
    <w:abstractNumId w:val="12"/>
  </w:num>
  <w:num w:numId="23" w16cid:durableId="1931157619">
    <w:abstractNumId w:val="0"/>
  </w:num>
  <w:num w:numId="24" w16cid:durableId="80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D06"/>
    <w:rsid w:val="00030DC4"/>
    <w:rsid w:val="00067182"/>
    <w:rsid w:val="00087FA5"/>
    <w:rsid w:val="00212E3B"/>
    <w:rsid w:val="002138D3"/>
    <w:rsid w:val="003E0FBD"/>
    <w:rsid w:val="003F5D06"/>
    <w:rsid w:val="003F784E"/>
    <w:rsid w:val="004C5F94"/>
    <w:rsid w:val="006541EB"/>
    <w:rsid w:val="00731F93"/>
    <w:rsid w:val="007A668C"/>
    <w:rsid w:val="009C0A79"/>
    <w:rsid w:val="00B314F4"/>
    <w:rsid w:val="00E33D07"/>
    <w:rsid w:val="00FB7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0A49A"/>
  <w15:chartTrackingRefBased/>
  <w15:docId w15:val="{88F21481-F7E4-0847-B140-50A3B5371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D0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F5D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F5D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F5D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5D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5D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5D0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5D0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5D0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5D0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D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F5D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F5D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5D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5D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5D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5D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5D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5D06"/>
    <w:rPr>
      <w:rFonts w:eastAsiaTheme="majorEastAsia" w:cstheme="majorBidi"/>
      <w:color w:val="272727" w:themeColor="text1" w:themeTint="D8"/>
    </w:rPr>
  </w:style>
  <w:style w:type="paragraph" w:styleId="Title">
    <w:name w:val="Title"/>
    <w:basedOn w:val="Normal"/>
    <w:next w:val="Normal"/>
    <w:link w:val="TitleChar"/>
    <w:uiPriority w:val="10"/>
    <w:qFormat/>
    <w:rsid w:val="003F5D0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D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5D0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5D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5D0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F5D06"/>
    <w:rPr>
      <w:i/>
      <w:iCs/>
      <w:color w:val="404040" w:themeColor="text1" w:themeTint="BF"/>
    </w:rPr>
  </w:style>
  <w:style w:type="paragraph" w:styleId="ListParagraph">
    <w:name w:val="List Paragraph"/>
    <w:basedOn w:val="Normal"/>
    <w:uiPriority w:val="34"/>
    <w:qFormat/>
    <w:rsid w:val="003F5D06"/>
    <w:pPr>
      <w:ind w:left="720"/>
      <w:contextualSpacing/>
    </w:pPr>
  </w:style>
  <w:style w:type="character" w:styleId="IntenseEmphasis">
    <w:name w:val="Intense Emphasis"/>
    <w:basedOn w:val="DefaultParagraphFont"/>
    <w:uiPriority w:val="21"/>
    <w:qFormat/>
    <w:rsid w:val="003F5D06"/>
    <w:rPr>
      <w:i/>
      <w:iCs/>
      <w:color w:val="0F4761" w:themeColor="accent1" w:themeShade="BF"/>
    </w:rPr>
  </w:style>
  <w:style w:type="paragraph" w:styleId="IntenseQuote">
    <w:name w:val="Intense Quote"/>
    <w:basedOn w:val="Normal"/>
    <w:next w:val="Normal"/>
    <w:link w:val="IntenseQuoteChar"/>
    <w:uiPriority w:val="30"/>
    <w:qFormat/>
    <w:rsid w:val="003F5D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5D06"/>
    <w:rPr>
      <w:i/>
      <w:iCs/>
      <w:color w:val="0F4761" w:themeColor="accent1" w:themeShade="BF"/>
    </w:rPr>
  </w:style>
  <w:style w:type="character" w:styleId="IntenseReference">
    <w:name w:val="Intense Reference"/>
    <w:basedOn w:val="DefaultParagraphFont"/>
    <w:uiPriority w:val="32"/>
    <w:qFormat/>
    <w:rsid w:val="003F5D06"/>
    <w:rPr>
      <w:b/>
      <w:bCs/>
      <w:smallCaps/>
      <w:color w:val="0F4761" w:themeColor="accent1" w:themeShade="BF"/>
      <w:spacing w:val="5"/>
    </w:rPr>
  </w:style>
  <w:style w:type="paragraph" w:styleId="Footer">
    <w:name w:val="footer"/>
    <w:basedOn w:val="Normal"/>
    <w:link w:val="FooterChar"/>
    <w:uiPriority w:val="99"/>
    <w:unhideWhenUsed/>
    <w:rsid w:val="003F5D06"/>
    <w:pPr>
      <w:tabs>
        <w:tab w:val="center" w:pos="4320"/>
        <w:tab w:val="right" w:pos="8640"/>
      </w:tabs>
    </w:pPr>
    <w:rPr>
      <w:rFonts w:asciiTheme="minorHAnsi" w:eastAsiaTheme="minorEastAsia" w:hAnsiTheme="minorHAnsi" w:cstheme="minorBidi"/>
      <w:lang w:eastAsia="ja-JP"/>
    </w:rPr>
  </w:style>
  <w:style w:type="character" w:customStyle="1" w:styleId="FooterChar">
    <w:name w:val="Footer Char"/>
    <w:basedOn w:val="DefaultParagraphFont"/>
    <w:link w:val="Footer"/>
    <w:uiPriority w:val="99"/>
    <w:rsid w:val="003F5D06"/>
    <w:rPr>
      <w:rFonts w:eastAsiaTheme="minorEastAsia"/>
      <w:kern w:val="0"/>
      <w:lang w:eastAsia="ja-JP"/>
      <w14:ligatures w14:val="none"/>
    </w:rPr>
  </w:style>
  <w:style w:type="character" w:styleId="PageNumber">
    <w:name w:val="page number"/>
    <w:basedOn w:val="DefaultParagraphFont"/>
    <w:uiPriority w:val="99"/>
    <w:semiHidden/>
    <w:unhideWhenUsed/>
    <w:rsid w:val="003F5D06"/>
  </w:style>
  <w:style w:type="paragraph" w:styleId="Header">
    <w:name w:val="header"/>
    <w:basedOn w:val="Normal"/>
    <w:link w:val="HeaderChar"/>
    <w:uiPriority w:val="99"/>
    <w:unhideWhenUsed/>
    <w:rsid w:val="003F5D06"/>
    <w:pPr>
      <w:tabs>
        <w:tab w:val="center" w:pos="4320"/>
        <w:tab w:val="right" w:pos="8640"/>
      </w:tabs>
    </w:pPr>
    <w:rPr>
      <w:rFonts w:asciiTheme="minorHAnsi" w:eastAsiaTheme="minorEastAsia" w:hAnsiTheme="minorHAnsi" w:cstheme="minorBidi"/>
      <w:lang w:eastAsia="ja-JP"/>
    </w:rPr>
  </w:style>
  <w:style w:type="character" w:customStyle="1" w:styleId="HeaderChar">
    <w:name w:val="Header Char"/>
    <w:basedOn w:val="DefaultParagraphFont"/>
    <w:link w:val="Header"/>
    <w:uiPriority w:val="99"/>
    <w:rsid w:val="003F5D06"/>
    <w:rPr>
      <w:rFonts w:eastAsiaTheme="minorEastAsia"/>
      <w:kern w:val="0"/>
      <w:lang w:eastAsia="ja-JP"/>
      <w14:ligatures w14:val="none"/>
    </w:rPr>
  </w:style>
  <w:style w:type="table" w:styleId="TableGrid">
    <w:name w:val="Table Grid"/>
    <w:basedOn w:val="TableNormal"/>
    <w:uiPriority w:val="59"/>
    <w:rsid w:val="003F5D06"/>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3F5D06"/>
    <w:rPr>
      <w:color w:val="467886" w:themeColor="hyperlink"/>
      <w:u w:val="single"/>
    </w:rPr>
  </w:style>
  <w:style w:type="character" w:styleId="UnresolvedMention">
    <w:name w:val="Unresolved Mention"/>
    <w:basedOn w:val="DefaultParagraphFont"/>
    <w:uiPriority w:val="99"/>
    <w:semiHidden/>
    <w:unhideWhenUsed/>
    <w:rsid w:val="003F5D06"/>
    <w:rPr>
      <w:color w:val="605E5C"/>
      <w:shd w:val="clear" w:color="auto" w:fill="E1DFDD"/>
    </w:rPr>
  </w:style>
  <w:style w:type="character" w:styleId="CommentReference">
    <w:name w:val="annotation reference"/>
    <w:basedOn w:val="DefaultParagraphFont"/>
    <w:uiPriority w:val="99"/>
    <w:semiHidden/>
    <w:unhideWhenUsed/>
    <w:rsid w:val="003F5D06"/>
    <w:rPr>
      <w:sz w:val="16"/>
      <w:szCs w:val="16"/>
    </w:rPr>
  </w:style>
  <w:style w:type="paragraph" w:styleId="CommentText">
    <w:name w:val="annotation text"/>
    <w:basedOn w:val="Normal"/>
    <w:link w:val="CommentTextChar"/>
    <w:uiPriority w:val="99"/>
    <w:semiHidden/>
    <w:unhideWhenUsed/>
    <w:rsid w:val="003F5D06"/>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semiHidden/>
    <w:rsid w:val="003F5D06"/>
    <w:rPr>
      <w:rFonts w:eastAsiaTheme="minorEastAsia"/>
      <w:kern w:val="0"/>
      <w:sz w:val="20"/>
      <w:szCs w:val="20"/>
      <w:lang w:eastAsia="ja-JP"/>
      <w14:ligatures w14:val="none"/>
    </w:rPr>
  </w:style>
  <w:style w:type="paragraph" w:styleId="CommentSubject">
    <w:name w:val="annotation subject"/>
    <w:basedOn w:val="CommentText"/>
    <w:next w:val="CommentText"/>
    <w:link w:val="CommentSubjectChar"/>
    <w:uiPriority w:val="99"/>
    <w:semiHidden/>
    <w:unhideWhenUsed/>
    <w:rsid w:val="003F5D06"/>
    <w:rPr>
      <w:b/>
      <w:bCs/>
    </w:rPr>
  </w:style>
  <w:style w:type="character" w:customStyle="1" w:styleId="CommentSubjectChar">
    <w:name w:val="Comment Subject Char"/>
    <w:basedOn w:val="CommentTextChar"/>
    <w:link w:val="CommentSubject"/>
    <w:uiPriority w:val="99"/>
    <w:semiHidden/>
    <w:rsid w:val="003F5D06"/>
    <w:rPr>
      <w:rFonts w:eastAsiaTheme="minorEastAsia"/>
      <w:b/>
      <w:bCs/>
      <w:kern w:val="0"/>
      <w:sz w:val="20"/>
      <w:szCs w:val="20"/>
      <w:lang w:eastAsia="ja-JP"/>
      <w14:ligatures w14:val="none"/>
    </w:rPr>
  </w:style>
  <w:style w:type="character" w:styleId="FollowedHyperlink">
    <w:name w:val="FollowedHyperlink"/>
    <w:basedOn w:val="DefaultParagraphFont"/>
    <w:uiPriority w:val="99"/>
    <w:semiHidden/>
    <w:unhideWhenUsed/>
    <w:rsid w:val="003F5D06"/>
    <w:rPr>
      <w:color w:val="96607D" w:themeColor="followedHyperlink"/>
      <w:u w:val="single"/>
    </w:rPr>
  </w:style>
  <w:style w:type="paragraph" w:styleId="FootnoteText">
    <w:name w:val="footnote text"/>
    <w:basedOn w:val="Normal"/>
    <w:link w:val="FootnoteTextChar"/>
    <w:uiPriority w:val="99"/>
    <w:semiHidden/>
    <w:unhideWhenUsed/>
    <w:rsid w:val="003F5D06"/>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semiHidden/>
    <w:rsid w:val="003F5D06"/>
    <w:rPr>
      <w:rFonts w:eastAsiaTheme="minorEastAsia"/>
      <w:kern w:val="0"/>
      <w:sz w:val="20"/>
      <w:szCs w:val="20"/>
      <w:lang w:eastAsia="ja-JP"/>
      <w14:ligatures w14:val="none"/>
    </w:rPr>
  </w:style>
  <w:style w:type="character" w:styleId="FootnoteReference">
    <w:name w:val="footnote reference"/>
    <w:basedOn w:val="DefaultParagraphFont"/>
    <w:uiPriority w:val="99"/>
    <w:semiHidden/>
    <w:unhideWhenUsed/>
    <w:rsid w:val="003F5D0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ata.census.gov/"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stlouisfed.org/"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23</Pages>
  <Words>3170</Words>
  <Characters>18074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Dang</dc:creator>
  <cp:keywords/>
  <dc:description/>
  <cp:lastModifiedBy>Dao Dang</cp:lastModifiedBy>
  <cp:revision>4</cp:revision>
  <dcterms:created xsi:type="dcterms:W3CDTF">2024-12-10T06:34:00Z</dcterms:created>
  <dcterms:modified xsi:type="dcterms:W3CDTF">2024-12-10T13:40:00Z</dcterms:modified>
</cp:coreProperties>
</file>